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8C950">
      <w:pPr>
        <w:spacing w:line="360" w:lineRule="auto"/>
        <w:jc w:val="center"/>
        <w:rPr>
          <w:rFonts w:hint="eastAsia" w:ascii="宋体" w:hAnsi="宋体"/>
          <w:b/>
          <w:sz w:val="32"/>
          <w:szCs w:val="32"/>
        </w:rPr>
      </w:pPr>
    </w:p>
    <w:p w14:paraId="2478608A">
      <w:pPr>
        <w:spacing w:line="360" w:lineRule="auto"/>
        <w:jc w:val="center"/>
        <w:rPr>
          <w:rFonts w:hint="eastAsia" w:ascii="宋体" w:hAnsi="宋体"/>
          <w:b w:val="0"/>
          <w:bCs/>
          <w:sz w:val="52"/>
          <w:szCs w:val="52"/>
        </w:rPr>
      </w:pPr>
      <w:r>
        <w:rPr>
          <w:rFonts w:hint="eastAsia" w:ascii="宋体" w:hAnsi="宋体"/>
          <w:b w:val="0"/>
          <w:bCs/>
          <w:sz w:val="52"/>
          <w:szCs w:val="52"/>
          <w:lang w:val="en-US" w:eastAsia="zh-CN"/>
        </w:rPr>
        <w:t>交变磁强计</w:t>
      </w:r>
      <w:r>
        <w:rPr>
          <w:rFonts w:hint="eastAsia" w:ascii="宋体" w:hAnsi="宋体"/>
          <w:b w:val="0"/>
          <w:bCs/>
          <w:sz w:val="52"/>
          <w:szCs w:val="52"/>
        </w:rPr>
        <w:t>校准规范</w:t>
      </w:r>
    </w:p>
    <w:p w14:paraId="193C1786">
      <w:pPr>
        <w:spacing w:line="360" w:lineRule="auto"/>
        <w:jc w:val="center"/>
        <w:rPr>
          <w:rFonts w:hint="eastAsia" w:ascii="宋体" w:hAnsi="宋体"/>
          <w:b w:val="0"/>
          <w:bCs/>
          <w:sz w:val="52"/>
          <w:szCs w:val="52"/>
        </w:rPr>
      </w:pPr>
      <w:r>
        <w:rPr>
          <w:rFonts w:hint="eastAsia" w:ascii="宋体" w:hAnsi="宋体"/>
          <w:b w:val="0"/>
          <w:bCs/>
          <w:sz w:val="52"/>
          <w:szCs w:val="52"/>
        </w:rPr>
        <w:t>编制说明</w:t>
      </w:r>
    </w:p>
    <w:p w14:paraId="16E874FA">
      <w:pPr>
        <w:spacing w:line="360" w:lineRule="auto"/>
        <w:jc w:val="center"/>
        <w:rPr>
          <w:rFonts w:hint="eastAsia" w:ascii="宋体" w:hAnsi="宋体"/>
          <w:b/>
          <w:sz w:val="44"/>
          <w:szCs w:val="44"/>
        </w:rPr>
      </w:pPr>
    </w:p>
    <w:p w14:paraId="373577B7">
      <w:pPr>
        <w:spacing w:line="360" w:lineRule="auto"/>
        <w:jc w:val="center"/>
        <w:rPr>
          <w:rFonts w:hint="eastAsia" w:ascii="宋体" w:hAnsi="宋体"/>
          <w:b/>
          <w:sz w:val="44"/>
          <w:szCs w:val="44"/>
        </w:rPr>
      </w:pPr>
    </w:p>
    <w:p w14:paraId="53F59901">
      <w:pPr>
        <w:spacing w:line="360" w:lineRule="auto"/>
        <w:jc w:val="center"/>
        <w:rPr>
          <w:rFonts w:hint="eastAsia" w:ascii="宋体" w:hAnsi="宋体"/>
          <w:b/>
          <w:sz w:val="44"/>
          <w:szCs w:val="44"/>
        </w:rPr>
      </w:pPr>
    </w:p>
    <w:p w14:paraId="66207B60">
      <w:pPr>
        <w:spacing w:line="360" w:lineRule="auto"/>
        <w:jc w:val="center"/>
        <w:rPr>
          <w:rFonts w:hint="eastAsia" w:ascii="宋体" w:hAnsi="宋体"/>
          <w:b/>
          <w:sz w:val="44"/>
          <w:szCs w:val="44"/>
        </w:rPr>
      </w:pPr>
    </w:p>
    <w:p w14:paraId="61627897">
      <w:pPr>
        <w:spacing w:line="360" w:lineRule="auto"/>
        <w:jc w:val="center"/>
        <w:rPr>
          <w:rFonts w:hint="eastAsia" w:ascii="宋体" w:hAnsi="宋体"/>
          <w:b/>
          <w:sz w:val="44"/>
          <w:szCs w:val="44"/>
        </w:rPr>
      </w:pPr>
    </w:p>
    <w:p w14:paraId="57058E8F">
      <w:pPr>
        <w:spacing w:line="360" w:lineRule="auto"/>
        <w:jc w:val="center"/>
        <w:rPr>
          <w:rFonts w:hint="eastAsia" w:ascii="宋体" w:hAnsi="宋体"/>
          <w:b/>
          <w:sz w:val="44"/>
          <w:szCs w:val="44"/>
        </w:rPr>
      </w:pPr>
    </w:p>
    <w:p w14:paraId="79FC50FD">
      <w:pPr>
        <w:spacing w:line="360" w:lineRule="auto"/>
        <w:jc w:val="center"/>
        <w:rPr>
          <w:rFonts w:hint="eastAsia" w:ascii="宋体" w:hAnsi="宋体"/>
          <w:b/>
          <w:sz w:val="44"/>
          <w:szCs w:val="44"/>
        </w:rPr>
      </w:pPr>
    </w:p>
    <w:p w14:paraId="0DCBE8DA">
      <w:pPr>
        <w:spacing w:line="360" w:lineRule="auto"/>
        <w:jc w:val="center"/>
        <w:rPr>
          <w:rFonts w:hint="eastAsia" w:ascii="宋体" w:hAnsi="宋体"/>
          <w:b/>
          <w:sz w:val="44"/>
          <w:szCs w:val="44"/>
        </w:rPr>
      </w:pPr>
    </w:p>
    <w:p w14:paraId="0C396640">
      <w:pPr>
        <w:spacing w:line="360" w:lineRule="auto"/>
        <w:jc w:val="center"/>
        <w:rPr>
          <w:rFonts w:hint="eastAsia" w:ascii="宋体" w:hAnsi="宋体"/>
          <w:b/>
          <w:sz w:val="44"/>
          <w:szCs w:val="44"/>
        </w:rPr>
      </w:pPr>
    </w:p>
    <w:p w14:paraId="57EF7CDA">
      <w:pPr>
        <w:spacing w:line="360" w:lineRule="auto"/>
        <w:jc w:val="center"/>
        <w:rPr>
          <w:rFonts w:hint="eastAsia" w:ascii="宋体" w:hAnsi="宋体"/>
          <w:b/>
          <w:sz w:val="44"/>
          <w:szCs w:val="44"/>
        </w:rPr>
      </w:pPr>
    </w:p>
    <w:p w14:paraId="59146708">
      <w:pPr>
        <w:spacing w:line="360" w:lineRule="auto"/>
        <w:jc w:val="center"/>
        <w:rPr>
          <w:rFonts w:hint="eastAsia" w:ascii="宋体" w:hAnsi="宋体"/>
          <w:b/>
          <w:sz w:val="44"/>
          <w:szCs w:val="44"/>
        </w:rPr>
      </w:pPr>
    </w:p>
    <w:p w14:paraId="7CC61329">
      <w:pPr>
        <w:spacing w:line="360" w:lineRule="auto"/>
        <w:jc w:val="center"/>
        <w:rPr>
          <w:rFonts w:hint="eastAsia" w:ascii="宋体" w:hAnsi="宋体"/>
          <w:b/>
          <w:sz w:val="44"/>
          <w:szCs w:val="44"/>
        </w:rPr>
      </w:pPr>
    </w:p>
    <w:p w14:paraId="1935734D">
      <w:pPr>
        <w:spacing w:line="360" w:lineRule="auto"/>
        <w:jc w:val="center"/>
        <w:rPr>
          <w:rFonts w:hint="eastAsia" w:ascii="宋体" w:hAnsi="宋体"/>
          <w:sz w:val="32"/>
          <w:szCs w:val="32"/>
        </w:rPr>
      </w:pPr>
      <w:r>
        <w:rPr>
          <w:rFonts w:hint="eastAsia" w:ascii="宋体" w:hAnsi="宋体"/>
          <w:sz w:val="32"/>
          <w:szCs w:val="32"/>
        </w:rPr>
        <w:t>20</w:t>
      </w:r>
      <w:r>
        <w:rPr>
          <w:rFonts w:ascii="宋体" w:hAnsi="宋体"/>
          <w:sz w:val="32"/>
          <w:szCs w:val="32"/>
        </w:rPr>
        <w:t>2</w:t>
      </w:r>
      <w:r>
        <w:rPr>
          <w:rFonts w:hint="eastAsia" w:ascii="宋体" w:hAnsi="宋体"/>
          <w:sz w:val="32"/>
          <w:szCs w:val="32"/>
          <w:lang w:val="en-US" w:eastAsia="zh-CN"/>
        </w:rPr>
        <w:t>6</w:t>
      </w:r>
      <w:bookmarkStart w:id="0" w:name="_GoBack"/>
      <w:bookmarkEnd w:id="0"/>
      <w:r>
        <w:rPr>
          <w:rFonts w:hint="eastAsia" w:ascii="宋体" w:hAnsi="宋体"/>
          <w:sz w:val="32"/>
          <w:szCs w:val="32"/>
        </w:rPr>
        <w:t>年</w:t>
      </w:r>
      <w:r>
        <w:rPr>
          <w:rFonts w:hint="eastAsia" w:ascii="宋体" w:hAnsi="宋体"/>
          <w:sz w:val="32"/>
          <w:szCs w:val="32"/>
          <w:lang w:val="en-US" w:eastAsia="zh-CN"/>
        </w:rPr>
        <w:t>03</w:t>
      </w:r>
      <w:r>
        <w:rPr>
          <w:rFonts w:hint="eastAsia" w:ascii="宋体" w:hAnsi="宋体"/>
          <w:sz w:val="32"/>
          <w:szCs w:val="32"/>
        </w:rPr>
        <w:t>月</w:t>
      </w:r>
    </w:p>
    <w:p w14:paraId="0C221201">
      <w:pPr>
        <w:pStyle w:val="3"/>
        <w:numPr>
          <w:ilvl w:val="0"/>
          <w:numId w:val="0"/>
        </w:numPr>
        <w:ind w:leftChars="0"/>
        <w:rPr>
          <w:rFonts w:hint="eastAsia" w:ascii="宋体" w:hAnsi="宋体" w:eastAsia="宋体" w:cs="宋体"/>
          <w:sz w:val="28"/>
          <w:szCs w:val="28"/>
        </w:rPr>
      </w:pPr>
      <w:r>
        <w:rPr>
          <w:rFonts w:ascii="宋体" w:hAnsi="宋体"/>
          <w:b/>
          <w:sz w:val="32"/>
          <w:szCs w:val="32"/>
        </w:rPr>
        <w:br w:type="page"/>
      </w:r>
      <w:r>
        <w:rPr>
          <w:rFonts w:hint="eastAsia" w:ascii="宋体" w:hAnsi="宋体" w:eastAsia="宋体" w:cs="宋体"/>
          <w:b/>
          <w:kern w:val="2"/>
          <w:sz w:val="28"/>
          <w:szCs w:val="28"/>
          <w:lang w:val="en-US" w:eastAsia="zh-CN" w:bidi="ar-SA"/>
        </w:rPr>
        <w:t>一、任务来源</w:t>
      </w:r>
    </w:p>
    <w:p w14:paraId="7783DD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根据市场监管总局办公厅关于下达《</w:t>
      </w:r>
      <w:r>
        <w:rPr>
          <w:rFonts w:hint="eastAsia" w:ascii="宋体" w:hAnsi="宋体" w:cs="宋体"/>
          <w:sz w:val="24"/>
          <w:szCs w:val="24"/>
          <w:lang w:val="en-US" w:eastAsia="zh-CN"/>
        </w:rPr>
        <w:t>2022年国家计量技术规范制修订和宣贯计划》（市监计量函</w:t>
      </w:r>
      <w:r>
        <w:rPr>
          <w:rFonts w:hint="eastAsia" w:ascii="宋体" w:hAnsi="宋体" w:eastAsia="宋体" w:cs="宋体"/>
          <w:sz w:val="24"/>
          <w:szCs w:val="24"/>
        </w:rPr>
        <w:t>【202</w:t>
      </w:r>
      <w:r>
        <w:rPr>
          <w:rFonts w:hint="eastAsia" w:ascii="宋体" w:hAnsi="宋体" w:cs="宋体"/>
          <w:sz w:val="24"/>
          <w:szCs w:val="24"/>
          <w:lang w:val="en-US" w:eastAsia="zh-CN"/>
        </w:rPr>
        <w:t>1</w:t>
      </w:r>
      <w:r>
        <w:rPr>
          <w:rFonts w:hint="eastAsia" w:ascii="宋体" w:hAnsi="宋体" w:eastAsia="宋体" w:cs="宋体"/>
          <w:sz w:val="24"/>
          <w:szCs w:val="24"/>
        </w:rPr>
        <w:t>】</w:t>
      </w:r>
      <w:r>
        <w:rPr>
          <w:rFonts w:hint="eastAsia" w:ascii="宋体" w:hAnsi="宋体" w:cs="宋体"/>
          <w:sz w:val="24"/>
          <w:szCs w:val="24"/>
          <w:lang w:val="en-US" w:eastAsia="zh-CN"/>
        </w:rPr>
        <w:t>2109</w:t>
      </w:r>
      <w:r>
        <w:rPr>
          <w:rFonts w:hint="eastAsia" w:ascii="宋体" w:hAnsi="宋体" w:eastAsia="宋体" w:cs="宋体"/>
          <w:sz w:val="24"/>
          <w:szCs w:val="24"/>
        </w:rPr>
        <w:t>号</w:t>
      </w:r>
      <w:r>
        <w:rPr>
          <w:rFonts w:hint="eastAsia" w:ascii="宋体" w:hAnsi="宋体" w:cs="宋体"/>
          <w:sz w:val="24"/>
          <w:szCs w:val="24"/>
          <w:lang w:val="en-US" w:eastAsia="zh-CN"/>
        </w:rPr>
        <w:t>）</w:t>
      </w:r>
      <w:r>
        <w:rPr>
          <w:rFonts w:hint="eastAsia" w:ascii="宋体" w:hAnsi="宋体" w:eastAsia="宋体" w:cs="宋体"/>
          <w:sz w:val="24"/>
          <w:szCs w:val="24"/>
        </w:rPr>
        <w:t>，由全国电磁计量技术委员会归口管理，</w:t>
      </w:r>
      <w:r>
        <w:rPr>
          <w:rFonts w:hint="eastAsia" w:ascii="宋体" w:hAnsi="宋体" w:cs="宋体"/>
          <w:sz w:val="24"/>
          <w:szCs w:val="24"/>
          <w:lang w:eastAsia="zh-CN"/>
        </w:rPr>
        <w:t>中国计量科学研究院、国防科技工业弱磁一级计量站</w:t>
      </w:r>
      <w:r>
        <w:rPr>
          <w:rFonts w:hint="eastAsia" w:ascii="宋体" w:hAnsi="宋体" w:eastAsia="宋体" w:cs="宋体"/>
          <w:sz w:val="24"/>
          <w:szCs w:val="24"/>
        </w:rPr>
        <w:t>为主要起草单位，</w:t>
      </w:r>
      <w:r>
        <w:rPr>
          <w:rFonts w:hint="eastAsia" w:ascii="宋体" w:hAnsi="宋体" w:cs="宋体"/>
          <w:sz w:val="24"/>
          <w:szCs w:val="24"/>
          <w:lang w:val="en-US" w:eastAsia="zh-CN"/>
        </w:rPr>
        <w:t>河南</w:t>
      </w:r>
      <w:r>
        <w:rPr>
          <w:rFonts w:hint="eastAsia" w:ascii="宋体" w:hAnsi="宋体" w:cs="宋体"/>
          <w:sz w:val="24"/>
          <w:szCs w:val="24"/>
          <w:lang w:eastAsia="zh-CN"/>
        </w:rPr>
        <w:t>省计量</w:t>
      </w:r>
      <w:r>
        <w:rPr>
          <w:rFonts w:hint="eastAsia" w:ascii="宋体" w:hAnsi="宋体" w:cs="宋体"/>
          <w:sz w:val="24"/>
          <w:szCs w:val="24"/>
          <w:lang w:val="en-US" w:eastAsia="zh-CN"/>
        </w:rPr>
        <w:t>测试</w:t>
      </w:r>
      <w:r>
        <w:rPr>
          <w:rFonts w:hint="eastAsia" w:ascii="宋体" w:hAnsi="宋体" w:cs="宋体"/>
          <w:sz w:val="24"/>
          <w:szCs w:val="24"/>
          <w:lang w:eastAsia="zh-CN"/>
        </w:rPr>
        <w:t>科学研究院、</w:t>
      </w:r>
      <w:r>
        <w:rPr>
          <w:rFonts w:hint="eastAsia" w:ascii="宋体" w:hAnsi="宋体" w:cs="宋体"/>
          <w:sz w:val="24"/>
          <w:szCs w:val="24"/>
          <w:lang w:val="en-US" w:eastAsia="zh-CN"/>
        </w:rPr>
        <w:t>山西</w:t>
      </w:r>
      <w:r>
        <w:rPr>
          <w:rFonts w:hint="eastAsia" w:ascii="宋体" w:hAnsi="宋体" w:cs="宋体"/>
          <w:sz w:val="24"/>
          <w:szCs w:val="24"/>
          <w:lang w:eastAsia="zh-CN"/>
        </w:rPr>
        <w:t>省计量科学研究院</w:t>
      </w:r>
      <w:r>
        <w:rPr>
          <w:rFonts w:hint="eastAsia" w:ascii="宋体" w:hAnsi="宋体" w:eastAsia="宋体" w:cs="宋体"/>
          <w:sz w:val="24"/>
          <w:szCs w:val="24"/>
        </w:rPr>
        <w:t>为参加单位负责制定国家计量校准规范《</w:t>
      </w:r>
      <w:r>
        <w:rPr>
          <w:rFonts w:hint="eastAsia" w:ascii="宋体" w:hAnsi="宋体" w:cs="宋体"/>
          <w:sz w:val="24"/>
          <w:szCs w:val="24"/>
          <w:lang w:val="en-US" w:eastAsia="zh-CN"/>
        </w:rPr>
        <w:t>交变磁强计</w:t>
      </w:r>
      <w:r>
        <w:rPr>
          <w:rFonts w:hint="eastAsia" w:ascii="宋体" w:hAnsi="宋体" w:eastAsia="宋体" w:cs="宋体"/>
          <w:sz w:val="24"/>
          <w:szCs w:val="24"/>
        </w:rPr>
        <w:t>校准规范》。</w:t>
      </w:r>
    </w:p>
    <w:p w14:paraId="5F86D6B5">
      <w:pPr>
        <w:spacing w:line="360" w:lineRule="auto"/>
        <w:rPr>
          <w:rFonts w:hint="eastAsia" w:ascii="宋体" w:hAnsi="宋体" w:eastAsia="宋体" w:cs="宋体"/>
          <w:b/>
          <w:sz w:val="28"/>
          <w:szCs w:val="28"/>
        </w:rPr>
      </w:pPr>
      <w:r>
        <w:rPr>
          <w:rFonts w:hint="eastAsia" w:ascii="宋体" w:hAnsi="宋体" w:cs="宋体"/>
          <w:b/>
          <w:sz w:val="28"/>
          <w:szCs w:val="28"/>
          <w:lang w:eastAsia="zh-CN"/>
        </w:rPr>
        <w:t>二、</w:t>
      </w:r>
      <w:r>
        <w:rPr>
          <w:rFonts w:hint="eastAsia" w:ascii="宋体" w:hAnsi="宋体" w:eastAsia="宋体" w:cs="宋体"/>
          <w:b/>
          <w:sz w:val="28"/>
          <w:szCs w:val="28"/>
        </w:rPr>
        <w:t>编制的必要性</w:t>
      </w:r>
    </w:p>
    <w:p w14:paraId="7329A786">
      <w:pPr>
        <w:autoSpaceDE w:val="0"/>
        <w:autoSpaceDN w:val="0"/>
        <w:adjustRightInd w:val="0"/>
        <w:spacing w:line="360" w:lineRule="auto"/>
        <w:ind w:firstLine="480" w:firstLineChars="200"/>
        <w:rPr>
          <w:rFonts w:hAnsi="宋体"/>
          <w:sz w:val="24"/>
          <w:szCs w:val="24"/>
          <w:shd w:val="clear" w:color="auto" w:fill="FFFFFF"/>
          <w:vertAlign w:val="baseline"/>
        </w:rPr>
      </w:pPr>
      <w:r>
        <w:rPr>
          <w:rFonts w:hint="eastAsia" w:hAnsi="宋体"/>
          <w:sz w:val="24"/>
          <w:szCs w:val="24"/>
          <w:vertAlign w:val="baseline"/>
        </w:rPr>
        <w:t>生态环境监测是生态环境保护的基础，是生态文明建设的重要支撑。</w:t>
      </w:r>
      <w:r>
        <w:rPr>
          <w:rFonts w:hint="eastAsia" w:hAnsi="宋体"/>
          <w:sz w:val="24"/>
          <w:szCs w:val="24"/>
          <w:vertAlign w:val="baseline"/>
          <w:lang w:val="en-US" w:eastAsia="zh-CN"/>
        </w:rPr>
        <w:t>交变磁强计</w:t>
      </w:r>
      <w:r>
        <w:rPr>
          <w:rFonts w:hAnsi="宋体"/>
          <w:sz w:val="24"/>
          <w:szCs w:val="24"/>
          <w:vertAlign w:val="baseline"/>
        </w:rPr>
        <w:t>用于</w:t>
      </w:r>
      <w:r>
        <w:rPr>
          <w:rFonts w:hint="eastAsia" w:hAnsi="宋体"/>
          <w:sz w:val="24"/>
          <w:szCs w:val="24"/>
          <w:vertAlign w:val="baseline"/>
        </w:rPr>
        <w:t>低频</w:t>
      </w:r>
      <w:r>
        <w:rPr>
          <w:rFonts w:hint="eastAsia" w:hAnsi="宋体"/>
          <w:sz w:val="24"/>
          <w:szCs w:val="24"/>
          <w:vertAlign w:val="baseline"/>
          <w:lang w:val="en-US" w:eastAsia="zh-CN"/>
        </w:rPr>
        <w:t>磁</w:t>
      </w:r>
      <w:r>
        <w:rPr>
          <w:rFonts w:hint="eastAsia" w:hAnsi="宋体"/>
          <w:sz w:val="24"/>
          <w:szCs w:val="24"/>
          <w:vertAlign w:val="baseline"/>
        </w:rPr>
        <w:t>场环境的监测，应用领域包括：</w:t>
      </w:r>
      <w:r>
        <w:rPr>
          <w:rFonts w:hAnsi="宋体"/>
          <w:sz w:val="24"/>
          <w:szCs w:val="24"/>
          <w:shd w:val="clear" w:color="auto" w:fill="FFFFFF"/>
          <w:vertAlign w:val="baseline"/>
        </w:rPr>
        <w:t>劳动保护，职业病防治，环境检测，环境卫生等。</w:t>
      </w:r>
      <w:r>
        <w:rPr>
          <w:rFonts w:hint="eastAsia" w:hAnsi="宋体"/>
          <w:sz w:val="24"/>
          <w:szCs w:val="24"/>
          <w:shd w:val="clear" w:color="auto" w:fill="FFFFFF"/>
          <w:vertAlign w:val="baseline"/>
        </w:rPr>
        <w:t>使用</w:t>
      </w:r>
      <w:r>
        <w:rPr>
          <w:rFonts w:hint="eastAsia" w:hAnsi="宋体"/>
          <w:sz w:val="24"/>
          <w:szCs w:val="24"/>
          <w:vertAlign w:val="baseline"/>
          <w:lang w:val="en-US" w:eastAsia="zh-CN"/>
        </w:rPr>
        <w:t>交变磁强计</w:t>
      </w:r>
      <w:r>
        <w:rPr>
          <w:rFonts w:hint="eastAsia" w:hAnsi="宋体"/>
          <w:sz w:val="24"/>
          <w:szCs w:val="24"/>
          <w:shd w:val="clear" w:color="auto" w:fill="FFFFFF"/>
          <w:vertAlign w:val="baseline"/>
        </w:rPr>
        <w:t>对</w:t>
      </w:r>
      <w:r>
        <w:rPr>
          <w:rFonts w:hint="eastAsia" w:hAnsi="宋体"/>
          <w:sz w:val="24"/>
          <w:szCs w:val="24"/>
          <w:shd w:val="clear" w:color="auto" w:fill="FFFFFF"/>
          <w:vertAlign w:val="baseline"/>
          <w:lang w:eastAsia="zh-CN"/>
        </w:rPr>
        <w:t>磁</w:t>
      </w:r>
      <w:r>
        <w:rPr>
          <w:rFonts w:hint="eastAsia" w:hAnsi="宋体"/>
          <w:sz w:val="24"/>
          <w:szCs w:val="24"/>
          <w:shd w:val="clear" w:color="auto" w:fill="FFFFFF"/>
          <w:vertAlign w:val="baseline"/>
        </w:rPr>
        <w:t>场环境进行监测</w:t>
      </w:r>
      <w:r>
        <w:rPr>
          <w:rFonts w:hAnsi="宋体"/>
          <w:sz w:val="24"/>
          <w:szCs w:val="24"/>
          <w:shd w:val="clear" w:color="auto" w:fill="FFFFFF"/>
          <w:vertAlign w:val="baseline"/>
        </w:rPr>
        <w:t>，</w:t>
      </w:r>
      <w:r>
        <w:rPr>
          <w:rFonts w:hint="eastAsia" w:hAnsi="宋体"/>
          <w:sz w:val="24"/>
          <w:szCs w:val="24"/>
          <w:shd w:val="clear" w:color="auto" w:fill="FFFFFF"/>
          <w:vertAlign w:val="baseline"/>
        </w:rPr>
        <w:t>测量结果再</w:t>
      </w:r>
      <w:r>
        <w:rPr>
          <w:rFonts w:hAnsi="宋体"/>
          <w:sz w:val="24"/>
          <w:szCs w:val="24"/>
          <w:shd w:val="clear" w:color="auto" w:fill="FFFFFF"/>
          <w:vertAlign w:val="baseline"/>
        </w:rPr>
        <w:t>按《GB8702-2014 电磁环境控制限值》的要求，对被测环境进行是否超限值的评价，为了保证数据准确可靠，</w:t>
      </w:r>
      <w:r>
        <w:rPr>
          <w:rFonts w:hint="eastAsia" w:hAnsi="宋体"/>
          <w:sz w:val="24"/>
          <w:szCs w:val="24"/>
          <w:shd w:val="clear" w:color="auto" w:fill="FFFFFF"/>
          <w:vertAlign w:val="baseline"/>
        </w:rPr>
        <w:t>环境评价正确，</w:t>
      </w:r>
      <w:r>
        <w:rPr>
          <w:rFonts w:hAnsi="宋体"/>
          <w:sz w:val="24"/>
          <w:szCs w:val="24"/>
          <w:shd w:val="clear" w:color="auto" w:fill="FFFFFF"/>
          <w:vertAlign w:val="baseline"/>
        </w:rPr>
        <w:t>需对其进行</w:t>
      </w:r>
      <w:r>
        <w:rPr>
          <w:rFonts w:hint="eastAsia" w:hAnsi="宋体"/>
          <w:sz w:val="24"/>
          <w:szCs w:val="24"/>
          <w:shd w:val="clear" w:color="auto" w:fill="FFFFFF"/>
          <w:vertAlign w:val="baseline"/>
        </w:rPr>
        <w:t>有效量值溯源</w:t>
      </w:r>
      <w:r>
        <w:rPr>
          <w:rFonts w:hAnsi="宋体"/>
          <w:sz w:val="24"/>
          <w:szCs w:val="24"/>
          <w:shd w:val="clear" w:color="auto" w:fill="FFFFFF"/>
          <w:vertAlign w:val="baseline"/>
        </w:rPr>
        <w:t>。</w:t>
      </w:r>
    </w:p>
    <w:p w14:paraId="029F1784">
      <w:pPr>
        <w:autoSpaceDE w:val="0"/>
        <w:autoSpaceDN w:val="0"/>
        <w:adjustRightInd w:val="0"/>
        <w:spacing w:line="360" w:lineRule="auto"/>
        <w:ind w:firstLine="480" w:firstLineChars="200"/>
        <w:rPr>
          <w:rFonts w:hint="eastAsia" w:hAnsi="宋体"/>
          <w:sz w:val="24"/>
          <w:szCs w:val="24"/>
          <w:shd w:val="clear" w:color="auto" w:fill="FFFFFF"/>
          <w:vertAlign w:val="baseline"/>
          <w:lang w:eastAsia="zh-CN"/>
        </w:rPr>
      </w:pPr>
      <w:r>
        <w:rPr>
          <w:rFonts w:hAnsi="宋体"/>
          <w:sz w:val="24"/>
          <w:szCs w:val="24"/>
          <w:shd w:val="clear" w:color="auto" w:fill="FFFFFF"/>
          <w:vertAlign w:val="baseline"/>
        </w:rPr>
        <w:t>目前我国没有相关的</w:t>
      </w:r>
      <w:r>
        <w:rPr>
          <w:rFonts w:hint="eastAsia" w:hAnsi="宋体"/>
          <w:sz w:val="24"/>
          <w:szCs w:val="24"/>
          <w:shd w:val="clear" w:color="auto" w:fill="FFFFFF"/>
          <w:vertAlign w:val="baseline"/>
        </w:rPr>
        <w:t>计量技术</w:t>
      </w:r>
      <w:r>
        <w:rPr>
          <w:rFonts w:hAnsi="宋体"/>
          <w:sz w:val="24"/>
          <w:szCs w:val="24"/>
          <w:shd w:val="clear" w:color="auto" w:fill="FFFFFF"/>
          <w:vertAlign w:val="baseline"/>
        </w:rPr>
        <w:t>规范，开展</w:t>
      </w:r>
      <w:r>
        <w:rPr>
          <w:rFonts w:hint="eastAsia" w:hAnsi="宋体"/>
          <w:sz w:val="24"/>
          <w:szCs w:val="24"/>
          <w:vertAlign w:val="baseline"/>
        </w:rPr>
        <w:t>低频</w:t>
      </w:r>
      <w:r>
        <w:rPr>
          <w:rFonts w:hint="eastAsia" w:hAnsi="宋体"/>
          <w:sz w:val="24"/>
          <w:szCs w:val="24"/>
          <w:vertAlign w:val="baseline"/>
          <w:lang w:eastAsia="zh-CN"/>
        </w:rPr>
        <w:t>磁</w:t>
      </w:r>
      <w:r>
        <w:rPr>
          <w:rFonts w:hint="eastAsia" w:hAnsi="宋体"/>
          <w:sz w:val="24"/>
          <w:szCs w:val="24"/>
          <w:vertAlign w:val="baseline"/>
        </w:rPr>
        <w:t>场测量</w:t>
      </w:r>
      <w:r>
        <w:rPr>
          <w:rFonts w:hAnsi="宋体"/>
          <w:sz w:val="24"/>
          <w:szCs w:val="24"/>
          <w:vertAlign w:val="baseline"/>
        </w:rPr>
        <w:t>仪</w:t>
      </w:r>
      <w:r>
        <w:rPr>
          <w:rFonts w:hAnsi="宋体"/>
          <w:sz w:val="24"/>
          <w:szCs w:val="24"/>
          <w:shd w:val="clear" w:color="auto" w:fill="FFFFFF"/>
          <w:vertAlign w:val="baseline"/>
        </w:rPr>
        <w:t>校准的计量机构，一般都是参照</w:t>
      </w:r>
      <w:r>
        <w:rPr>
          <w:rFonts w:hint="eastAsia" w:hAnsi="宋体"/>
          <w:sz w:val="24"/>
          <w:szCs w:val="24"/>
          <w:shd w:val="clear" w:color="auto" w:fill="FFFFFF"/>
          <w:vertAlign w:val="baseline"/>
        </w:rPr>
        <w:t>《JJG 1049-2009</w:t>
      </w:r>
      <w:r>
        <w:rPr>
          <w:rFonts w:hint="eastAsia" w:hAnsi="宋体"/>
          <w:sz w:val="24"/>
          <w:szCs w:val="24"/>
          <w:shd w:val="clear" w:color="auto" w:fill="FFFFFF"/>
          <w:vertAlign w:val="baseline"/>
          <w:lang w:val="en-US" w:eastAsia="zh-CN"/>
        </w:rPr>
        <w:t xml:space="preserve"> </w:t>
      </w:r>
      <w:r>
        <w:rPr>
          <w:rFonts w:hint="eastAsia" w:hAnsi="宋体"/>
          <w:sz w:val="24"/>
          <w:szCs w:val="24"/>
          <w:shd w:val="clear" w:color="auto" w:fill="FFFFFF"/>
          <w:vertAlign w:val="baseline"/>
        </w:rPr>
        <w:t>弱磁场交变磁强计检定规程》、</w:t>
      </w:r>
      <w:r>
        <w:rPr>
          <w:rFonts w:hint="eastAsia" w:hAnsi="宋体"/>
          <w:sz w:val="24"/>
          <w:szCs w:val="24"/>
          <w:shd w:val="clear" w:color="auto" w:fill="FFFFFF"/>
          <w:vertAlign w:val="baseline"/>
          <w:lang w:eastAsia="zh-CN"/>
        </w:rPr>
        <w:t>《JJF 1832-2020</w:t>
      </w:r>
    </w:p>
    <w:p w14:paraId="5919E72D">
      <w:pPr>
        <w:autoSpaceDE w:val="0"/>
        <w:autoSpaceDN w:val="0"/>
        <w:adjustRightInd w:val="0"/>
        <w:spacing w:line="360" w:lineRule="auto"/>
        <w:rPr>
          <w:rFonts w:hAnsi="宋体"/>
          <w:sz w:val="24"/>
          <w:szCs w:val="24"/>
          <w:shd w:val="clear" w:color="auto" w:fill="FFFFFF"/>
          <w:vertAlign w:val="baseline"/>
        </w:rPr>
      </w:pPr>
      <w:r>
        <w:rPr>
          <w:rFonts w:hint="eastAsia" w:hAnsi="宋体"/>
          <w:sz w:val="24"/>
          <w:szCs w:val="24"/>
          <w:shd w:val="clear" w:color="auto" w:fill="FFFFFF"/>
          <w:vertAlign w:val="baseline"/>
          <w:lang w:eastAsia="zh-CN"/>
        </w:rPr>
        <w:t>(1mT~2.5T)磁强计校准规范》、</w:t>
      </w:r>
      <w:r>
        <w:rPr>
          <w:rFonts w:hint="eastAsia" w:hAnsi="宋体"/>
          <w:sz w:val="24"/>
          <w:szCs w:val="24"/>
          <w:shd w:val="clear" w:color="auto" w:fill="FFFFFF"/>
          <w:vertAlign w:val="baseline"/>
        </w:rPr>
        <w:t>《 DL/T 988高压交流架空送电线路、变电站工频电场和磁场测量方法》等检测标准的附录部分来开展校准工作，这些参考标准不统一，且都只着重于工频下的</w:t>
      </w:r>
      <w:r>
        <w:rPr>
          <w:rFonts w:hint="eastAsia" w:hAnsi="宋体"/>
          <w:sz w:val="24"/>
          <w:szCs w:val="24"/>
          <w:shd w:val="clear" w:color="auto" w:fill="FFFFFF"/>
          <w:vertAlign w:val="baseline"/>
          <w:lang w:eastAsia="zh-CN"/>
        </w:rPr>
        <w:t>磁</w:t>
      </w:r>
      <w:r>
        <w:rPr>
          <w:rFonts w:hint="eastAsia" w:hAnsi="宋体"/>
          <w:sz w:val="24"/>
          <w:szCs w:val="24"/>
          <w:shd w:val="clear" w:color="auto" w:fill="FFFFFF"/>
          <w:vertAlign w:val="baseline"/>
        </w:rPr>
        <w:t>场强度，不能满足环境监测低频范围测量的需求。</w:t>
      </w:r>
    </w:p>
    <w:p w14:paraId="37C9B49A">
      <w:pPr>
        <w:autoSpaceDE w:val="0"/>
        <w:autoSpaceDN w:val="0"/>
        <w:adjustRightInd w:val="0"/>
        <w:spacing w:line="360" w:lineRule="auto"/>
        <w:ind w:firstLine="480" w:firstLineChars="200"/>
        <w:rPr>
          <w:rFonts w:hAnsi="宋体"/>
          <w:sz w:val="24"/>
          <w:szCs w:val="24"/>
          <w:shd w:val="clear" w:color="auto" w:fill="FFFFFF"/>
          <w:vertAlign w:val="baseline"/>
        </w:rPr>
      </w:pPr>
      <w:r>
        <w:rPr>
          <w:rFonts w:hint="eastAsia" w:hAnsi="宋体"/>
          <w:sz w:val="24"/>
          <w:szCs w:val="24"/>
          <w:shd w:val="clear" w:color="auto" w:fill="FFFFFF"/>
          <w:vertAlign w:val="baseline"/>
        </w:rPr>
        <w:t>目前国外已有标准</w:t>
      </w:r>
      <w:r>
        <w:rPr>
          <w:rFonts w:hAnsi="宋体"/>
          <w:sz w:val="24"/>
          <w:szCs w:val="24"/>
          <w:shd w:val="clear" w:color="auto" w:fill="FFFFFF"/>
          <w:vertAlign w:val="baseline"/>
        </w:rPr>
        <w:t>《IEC 61786-1-2013 关于人体暴露于1 Hz至100 kHz直流电磁场、交流电磁场及交流电场的测量.第1部分:测量仪器的要求》</w:t>
      </w:r>
      <w:r>
        <w:rPr>
          <w:rFonts w:hint="eastAsia" w:hAnsi="宋体"/>
          <w:sz w:val="24"/>
          <w:szCs w:val="24"/>
          <w:shd w:val="clear" w:color="auto" w:fill="FFFFFF"/>
          <w:vertAlign w:val="baseline"/>
        </w:rPr>
        <w:t>，该标准也存在校准过程描述不规范，部分影响量没有涉及等问题。</w:t>
      </w:r>
      <w:r>
        <w:rPr>
          <w:rFonts w:hAnsi="宋体"/>
          <w:sz w:val="24"/>
          <w:szCs w:val="24"/>
          <w:shd w:val="clear" w:color="auto" w:fill="FFFFFF"/>
          <w:vertAlign w:val="baseline"/>
        </w:rPr>
        <w:t xml:space="preserve"> </w:t>
      </w:r>
    </w:p>
    <w:p w14:paraId="2DE0E824">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hAnsi="宋体"/>
          <w:sz w:val="24"/>
          <w:szCs w:val="24"/>
          <w:shd w:val="clear" w:color="auto" w:fill="FFFFFF"/>
          <w:vertAlign w:val="baseline"/>
        </w:rPr>
        <w:t>随着近年来交变磁强计的快速发展，其测量精度、测量范围有了较大幅度的提升，现行交变磁强计检定规程存在量值范围小，频率范围小，已经无法满足现实使用需求，缺少不确定度评估内容，为响应业界需求，</w:t>
      </w:r>
      <w:r>
        <w:rPr>
          <w:rFonts w:hAnsi="宋体"/>
          <w:sz w:val="24"/>
          <w:szCs w:val="24"/>
          <w:shd w:val="clear" w:color="auto" w:fill="FFFFFF"/>
          <w:vertAlign w:val="baseline"/>
        </w:rPr>
        <w:t>加强</w:t>
      </w:r>
      <w:r>
        <w:rPr>
          <w:rFonts w:hint="eastAsia" w:hAnsi="宋体"/>
          <w:sz w:val="24"/>
          <w:szCs w:val="24"/>
          <w:vertAlign w:val="baseline"/>
        </w:rPr>
        <w:t>低频</w:t>
      </w:r>
      <w:r>
        <w:rPr>
          <w:rFonts w:hint="eastAsia" w:hAnsi="宋体"/>
          <w:sz w:val="24"/>
          <w:szCs w:val="24"/>
          <w:vertAlign w:val="baseline"/>
          <w:lang w:eastAsia="zh-CN"/>
        </w:rPr>
        <w:t>磁</w:t>
      </w:r>
      <w:r>
        <w:rPr>
          <w:rFonts w:hint="eastAsia" w:hAnsi="宋体"/>
          <w:sz w:val="24"/>
          <w:szCs w:val="24"/>
          <w:vertAlign w:val="baseline"/>
        </w:rPr>
        <w:t>场测量</w:t>
      </w:r>
      <w:r>
        <w:rPr>
          <w:rFonts w:hAnsi="宋体"/>
          <w:sz w:val="24"/>
          <w:szCs w:val="24"/>
          <w:vertAlign w:val="baseline"/>
        </w:rPr>
        <w:t>仪</w:t>
      </w:r>
      <w:r>
        <w:rPr>
          <w:rFonts w:hAnsi="宋体"/>
          <w:sz w:val="24"/>
          <w:szCs w:val="24"/>
          <w:shd w:val="clear" w:color="auto" w:fill="FFFFFF"/>
          <w:vertAlign w:val="baseline"/>
        </w:rPr>
        <w:t>质量控制与管理，保证量值溯源准确可靠，</w:t>
      </w:r>
      <w:r>
        <w:rPr>
          <w:rFonts w:hint="eastAsia" w:hAnsi="宋体"/>
          <w:sz w:val="24"/>
          <w:szCs w:val="24"/>
          <w:shd w:val="clear" w:color="auto" w:fill="FFFFFF"/>
          <w:vertAlign w:val="baseline"/>
          <w:lang w:eastAsia="zh-CN"/>
        </w:rPr>
        <w:t>制定</w:t>
      </w:r>
      <w:r>
        <w:rPr>
          <w:rFonts w:hint="eastAsia" w:hAnsi="宋体"/>
          <w:sz w:val="24"/>
          <w:szCs w:val="24"/>
          <w:shd w:val="clear" w:color="auto" w:fill="FFFFFF"/>
          <w:vertAlign w:val="baseline"/>
        </w:rPr>
        <w:t>复合当前使用需求的交变磁强计校准规范</w:t>
      </w:r>
      <w:r>
        <w:rPr>
          <w:rFonts w:hint="eastAsia" w:hAnsi="宋体"/>
          <w:sz w:val="24"/>
          <w:szCs w:val="24"/>
          <w:shd w:val="clear" w:color="auto" w:fill="FFFFFF"/>
          <w:vertAlign w:val="baseline"/>
          <w:lang w:eastAsia="zh-CN"/>
        </w:rPr>
        <w:t>十分必要。</w:t>
      </w:r>
    </w:p>
    <w:p w14:paraId="451916E0">
      <w:pPr>
        <w:rPr>
          <w:rFonts w:hint="eastAsia" w:ascii="宋体" w:eastAsia="宋体" w:cs="宋体"/>
          <w:lang w:eastAsia="zh-CN"/>
        </w:rPr>
      </w:pPr>
      <w:r>
        <w:rPr>
          <w:rFonts w:hint="eastAsia" w:ascii="宋体" w:eastAsia="宋体" w:cs="宋体"/>
          <w:lang w:eastAsia="zh-CN"/>
        </w:rPr>
        <w:br w:type="page"/>
      </w:r>
    </w:p>
    <w:p w14:paraId="5EDB4BD3">
      <w:pPr>
        <w:pStyle w:val="3"/>
        <w:numPr>
          <w:ilvl w:val="0"/>
          <w:numId w:val="0"/>
        </w:numPr>
        <w:ind w:leftChars="0"/>
        <w:rPr>
          <w:rFonts w:hint="eastAsia" w:ascii="宋体" w:hAnsi="宋体" w:eastAsia="宋体" w:cs="宋体"/>
        </w:rPr>
      </w:pPr>
      <w:r>
        <w:rPr>
          <w:rFonts w:hint="eastAsia" w:ascii="宋体" w:eastAsia="宋体" w:cs="宋体"/>
          <w:lang w:eastAsia="zh-CN"/>
        </w:rPr>
        <w:t>三、</w:t>
      </w:r>
      <w:r>
        <w:rPr>
          <w:rFonts w:hint="eastAsia" w:ascii="宋体" w:hAnsi="宋体" w:eastAsia="宋体" w:cs="宋体"/>
        </w:rPr>
        <w:t>编制过程</w:t>
      </w:r>
    </w:p>
    <w:p w14:paraId="432A2D95">
      <w:pPr>
        <w:numPr>
          <w:ilvl w:val="0"/>
          <w:numId w:val="0"/>
        </w:numPr>
        <w:tabs>
          <w:tab w:val="left" w:pos="540"/>
        </w:tabs>
        <w:spacing w:line="360" w:lineRule="auto"/>
        <w:ind w:leftChars="0"/>
        <w:rPr>
          <w:rFonts w:eastAsia="黑体"/>
          <w:sz w:val="24"/>
        </w:rPr>
      </w:pPr>
      <w:r>
        <w:rPr>
          <w:rFonts w:hint="eastAsia" w:eastAsia="黑体"/>
          <w:sz w:val="24"/>
          <w:lang w:val="en-US" w:eastAsia="zh-CN"/>
        </w:rPr>
        <w:t xml:space="preserve">3.1 </w:t>
      </w:r>
      <w:r>
        <w:rPr>
          <w:rFonts w:hint="eastAsia" w:eastAsia="黑体"/>
          <w:sz w:val="24"/>
          <w:lang w:eastAsia="zh-CN"/>
        </w:rPr>
        <w:t>编写</w:t>
      </w:r>
      <w:r>
        <w:rPr>
          <w:rFonts w:eastAsia="黑体"/>
          <w:sz w:val="24"/>
        </w:rPr>
        <w:t>原则</w:t>
      </w:r>
    </w:p>
    <w:p w14:paraId="373678AF">
      <w:pPr>
        <w:spacing w:line="360" w:lineRule="auto"/>
        <w:ind w:firstLine="480" w:firstLineChars="200"/>
        <w:rPr>
          <w:sz w:val="24"/>
        </w:rPr>
      </w:pPr>
      <w:r>
        <w:rPr>
          <w:sz w:val="24"/>
        </w:rPr>
        <w:t>根据计划要求，</w:t>
      </w:r>
      <w:r>
        <w:rPr>
          <w:rFonts w:hint="eastAsia"/>
          <w:sz w:val="24"/>
          <w:lang w:val="en-US" w:eastAsia="zh-CN"/>
        </w:rPr>
        <w:t>主要起草</w:t>
      </w:r>
      <w:r>
        <w:rPr>
          <w:sz w:val="24"/>
        </w:rPr>
        <w:t>单位于202</w:t>
      </w:r>
      <w:r>
        <w:rPr>
          <w:rFonts w:hint="eastAsia"/>
          <w:sz w:val="24"/>
          <w:lang w:val="en-US" w:eastAsia="zh-CN"/>
        </w:rPr>
        <w:t>5</w:t>
      </w:r>
      <w:r>
        <w:rPr>
          <w:sz w:val="24"/>
        </w:rPr>
        <w:t>年</w:t>
      </w:r>
      <w:r>
        <w:rPr>
          <w:rFonts w:hint="eastAsia"/>
          <w:sz w:val="24"/>
          <w:lang w:val="en-US" w:eastAsia="zh-CN"/>
        </w:rPr>
        <w:t>4</w:t>
      </w:r>
      <w:r>
        <w:rPr>
          <w:sz w:val="24"/>
        </w:rPr>
        <w:t>月正式成立《规范》</w:t>
      </w:r>
      <w:r>
        <w:rPr>
          <w:rFonts w:hint="eastAsia"/>
          <w:sz w:val="24"/>
          <w:lang w:eastAsia="zh-CN"/>
        </w:rPr>
        <w:t>编写</w:t>
      </w:r>
      <w:r>
        <w:rPr>
          <w:sz w:val="24"/>
        </w:rPr>
        <w:t>组，依据</w:t>
      </w:r>
      <w:r>
        <w:rPr>
          <w:rFonts w:hint="eastAsia"/>
          <w:sz w:val="24"/>
          <w:lang w:eastAsia="zh-CN"/>
        </w:rPr>
        <w:t>编写</w:t>
      </w:r>
      <w:r>
        <w:rPr>
          <w:sz w:val="24"/>
        </w:rPr>
        <w:t>组的工作职责，制定了工作计划。参加</w:t>
      </w:r>
      <w:r>
        <w:rPr>
          <w:rFonts w:hint="eastAsia"/>
          <w:sz w:val="24"/>
          <w:lang w:eastAsia="zh-CN"/>
        </w:rPr>
        <w:t>编写</w:t>
      </w:r>
      <w:r>
        <w:rPr>
          <w:sz w:val="24"/>
        </w:rPr>
        <w:t>的工作人员确定了《规范》的结构框架和如下编写原则：</w:t>
      </w:r>
    </w:p>
    <w:p w14:paraId="63CCA838">
      <w:pPr>
        <w:numPr>
          <w:ilvl w:val="0"/>
          <w:numId w:val="2"/>
        </w:numPr>
        <w:spacing w:line="360" w:lineRule="auto"/>
        <w:rPr>
          <w:sz w:val="24"/>
        </w:rPr>
      </w:pPr>
      <w:r>
        <w:rPr>
          <w:sz w:val="24"/>
        </w:rPr>
        <w:t>适用性，规范内容应便于实施；</w:t>
      </w:r>
    </w:p>
    <w:p w14:paraId="051759E2">
      <w:pPr>
        <w:numPr>
          <w:ilvl w:val="0"/>
          <w:numId w:val="2"/>
        </w:numPr>
        <w:spacing w:line="360" w:lineRule="auto"/>
        <w:rPr>
          <w:sz w:val="24"/>
        </w:rPr>
      </w:pPr>
      <w:r>
        <w:rPr>
          <w:sz w:val="24"/>
        </w:rPr>
        <w:t>完整性，设置的条款应力求全面、实用，涵盖</w:t>
      </w:r>
      <w:r>
        <w:rPr>
          <w:rFonts w:hint="eastAsia"/>
          <w:sz w:val="24"/>
          <w:lang w:val="en-US" w:eastAsia="zh-CN"/>
        </w:rPr>
        <w:t>交变磁强计</w:t>
      </w:r>
      <w:r>
        <w:rPr>
          <w:sz w:val="24"/>
        </w:rPr>
        <w:t>（以下简称</w:t>
      </w:r>
      <w:r>
        <w:rPr>
          <w:rFonts w:hint="eastAsia"/>
          <w:sz w:val="24"/>
          <w:lang w:val="en-US" w:eastAsia="zh-CN"/>
        </w:rPr>
        <w:t>磁强计</w:t>
      </w:r>
      <w:r>
        <w:rPr>
          <w:sz w:val="24"/>
        </w:rPr>
        <w:t>）校准的全部要求；</w:t>
      </w:r>
    </w:p>
    <w:p w14:paraId="267C17F3">
      <w:pPr>
        <w:numPr>
          <w:ilvl w:val="0"/>
          <w:numId w:val="2"/>
        </w:numPr>
        <w:spacing w:line="360" w:lineRule="auto"/>
        <w:rPr>
          <w:sz w:val="24"/>
        </w:rPr>
      </w:pPr>
      <w:r>
        <w:rPr>
          <w:sz w:val="24"/>
        </w:rPr>
        <w:t>正确性，文字简练，描述科学、准确。</w:t>
      </w:r>
    </w:p>
    <w:p w14:paraId="23ED111F">
      <w:pPr>
        <w:spacing w:line="360" w:lineRule="auto"/>
        <w:ind w:firstLine="570"/>
        <w:rPr>
          <w:rFonts w:hint="eastAsia"/>
          <w:sz w:val="24"/>
          <w:szCs w:val="24"/>
          <w:highlight w:val="none"/>
        </w:rPr>
      </w:pPr>
      <w:r>
        <w:rPr>
          <w:rFonts w:hint="eastAsia"/>
          <w:sz w:val="24"/>
          <w:szCs w:val="24"/>
          <w:highlight w:val="none"/>
        </w:rPr>
        <w:t>本规范为首次制定，制定过程中严格按照JJF 1071《国家计量校准规范编写规则》、JJF 1001《通用计量术语及定义》、JJF 1059.1《测量不确定度评定与表示》进行编制，并与相关标准协调统一。</w:t>
      </w:r>
    </w:p>
    <w:p w14:paraId="0F0EF7C0">
      <w:pPr>
        <w:pStyle w:val="2"/>
      </w:pPr>
    </w:p>
    <w:p w14:paraId="2AEAA330">
      <w:pPr>
        <w:numPr>
          <w:ilvl w:val="0"/>
          <w:numId w:val="0"/>
        </w:numPr>
        <w:tabs>
          <w:tab w:val="left" w:pos="540"/>
        </w:tabs>
        <w:spacing w:line="360" w:lineRule="auto"/>
        <w:ind w:leftChars="0"/>
        <w:rPr>
          <w:rFonts w:eastAsia="黑体"/>
          <w:sz w:val="24"/>
        </w:rPr>
      </w:pPr>
      <w:r>
        <w:rPr>
          <w:rFonts w:hint="eastAsia" w:eastAsia="黑体"/>
          <w:sz w:val="24"/>
          <w:lang w:val="en-US" w:eastAsia="zh-CN"/>
        </w:rPr>
        <w:t xml:space="preserve">3.2 </w:t>
      </w:r>
      <w:r>
        <w:rPr>
          <w:rFonts w:eastAsia="黑体"/>
          <w:sz w:val="24"/>
        </w:rPr>
        <w:t>各阶段的主要工作</w:t>
      </w:r>
    </w:p>
    <w:p w14:paraId="4D8F8D11">
      <w:pPr>
        <w:spacing w:line="360" w:lineRule="auto"/>
        <w:ind w:firstLine="480" w:firstLineChars="200"/>
        <w:rPr>
          <w:rFonts w:hint="eastAsia" w:eastAsia="宋体"/>
          <w:sz w:val="24"/>
          <w:lang w:eastAsia="zh-CN"/>
        </w:rPr>
      </w:pPr>
      <w:r>
        <w:rPr>
          <w:sz w:val="24"/>
        </w:rPr>
        <w:t>202</w:t>
      </w:r>
      <w:r>
        <w:rPr>
          <w:rFonts w:hint="eastAsia"/>
          <w:sz w:val="24"/>
          <w:lang w:val="en-US" w:eastAsia="zh-CN"/>
        </w:rPr>
        <w:t>5</w:t>
      </w:r>
      <w:r>
        <w:rPr>
          <w:sz w:val="24"/>
        </w:rPr>
        <w:t>年</w:t>
      </w:r>
      <w:r>
        <w:rPr>
          <w:rFonts w:hint="eastAsia"/>
          <w:sz w:val="24"/>
          <w:lang w:val="en-US" w:eastAsia="zh-CN"/>
        </w:rPr>
        <w:t>4</w:t>
      </w:r>
      <w:r>
        <w:rPr>
          <w:sz w:val="24"/>
        </w:rPr>
        <w:t>月：成立</w:t>
      </w:r>
      <w:r>
        <w:rPr>
          <w:rFonts w:hint="eastAsia"/>
          <w:sz w:val="24"/>
          <w:lang w:eastAsia="zh-CN"/>
        </w:rPr>
        <w:t>编写</w:t>
      </w:r>
      <w:r>
        <w:rPr>
          <w:sz w:val="24"/>
        </w:rPr>
        <w:t>组，制定工作计划</w:t>
      </w:r>
      <w:r>
        <w:rPr>
          <w:rFonts w:hint="eastAsia"/>
          <w:sz w:val="24"/>
          <w:lang w:eastAsia="zh-CN"/>
        </w:rPr>
        <w:t>；</w:t>
      </w:r>
    </w:p>
    <w:p w14:paraId="1E36F7D3">
      <w:pPr>
        <w:spacing w:line="360" w:lineRule="auto"/>
        <w:ind w:firstLine="480" w:firstLineChars="200"/>
        <w:rPr>
          <w:rFonts w:hint="eastAsia" w:eastAsia="宋体"/>
          <w:sz w:val="24"/>
          <w:lang w:eastAsia="zh-CN"/>
        </w:rPr>
      </w:pPr>
      <w:r>
        <w:rPr>
          <w:sz w:val="24"/>
        </w:rPr>
        <w:t>202</w:t>
      </w:r>
      <w:r>
        <w:rPr>
          <w:rFonts w:hint="eastAsia"/>
          <w:sz w:val="24"/>
          <w:lang w:val="en-US" w:eastAsia="zh-CN"/>
        </w:rPr>
        <w:t>5</w:t>
      </w:r>
      <w:r>
        <w:rPr>
          <w:sz w:val="24"/>
        </w:rPr>
        <w:t>年</w:t>
      </w:r>
      <w:r>
        <w:rPr>
          <w:rFonts w:hint="eastAsia"/>
          <w:sz w:val="24"/>
          <w:lang w:val="en-US" w:eastAsia="zh-CN"/>
        </w:rPr>
        <w:t>5</w:t>
      </w:r>
      <w:r>
        <w:rPr>
          <w:sz w:val="24"/>
        </w:rPr>
        <w:t>月～12月：完成调研与资料收集，完成《规范》初稿</w:t>
      </w:r>
      <w:r>
        <w:rPr>
          <w:rFonts w:hint="eastAsia"/>
          <w:sz w:val="24"/>
          <w:lang w:eastAsia="zh-CN"/>
        </w:rPr>
        <w:t>编写；</w:t>
      </w:r>
    </w:p>
    <w:p w14:paraId="6092A715">
      <w:pPr>
        <w:spacing w:line="360" w:lineRule="auto"/>
        <w:ind w:firstLine="480" w:firstLineChars="200"/>
        <w:rPr>
          <w:rFonts w:hint="eastAsia" w:eastAsia="宋体"/>
          <w:sz w:val="24"/>
          <w:lang w:eastAsia="zh-CN"/>
        </w:rPr>
      </w:pPr>
      <w:r>
        <w:rPr>
          <w:sz w:val="24"/>
        </w:rPr>
        <w:t>202</w:t>
      </w:r>
      <w:r>
        <w:rPr>
          <w:rFonts w:hint="eastAsia"/>
          <w:sz w:val="24"/>
          <w:lang w:val="en-US" w:eastAsia="zh-CN"/>
        </w:rPr>
        <w:t>6</w:t>
      </w:r>
      <w:r>
        <w:rPr>
          <w:sz w:val="24"/>
        </w:rPr>
        <w:t>年1月～6月：在初稿基础上，听取专家意见，</w:t>
      </w:r>
      <w:r>
        <w:rPr>
          <w:rFonts w:hint="eastAsia"/>
          <w:sz w:val="24"/>
          <w:lang w:eastAsia="zh-CN"/>
        </w:rPr>
        <w:t>编写</w:t>
      </w:r>
      <w:r>
        <w:rPr>
          <w:sz w:val="24"/>
        </w:rPr>
        <w:t>组内部多次讨论修改，形成《规范》征求意见稿</w:t>
      </w:r>
      <w:r>
        <w:rPr>
          <w:rFonts w:hint="eastAsia"/>
          <w:sz w:val="24"/>
          <w:lang w:eastAsia="zh-CN"/>
        </w:rPr>
        <w:t>，以及</w:t>
      </w:r>
      <w:r>
        <w:rPr>
          <w:sz w:val="24"/>
        </w:rPr>
        <w:t>测量不确定度评定分析、验证试验等工作</w:t>
      </w:r>
      <w:r>
        <w:rPr>
          <w:rFonts w:hint="eastAsia"/>
          <w:sz w:val="24"/>
          <w:lang w:eastAsia="zh-CN"/>
        </w:rPr>
        <w:t>；</w:t>
      </w:r>
    </w:p>
    <w:p w14:paraId="01DDF0FC">
      <w:pPr>
        <w:spacing w:line="360" w:lineRule="auto"/>
        <w:ind w:firstLine="480" w:firstLineChars="200"/>
        <w:rPr>
          <w:rFonts w:hint="eastAsia" w:eastAsia="宋体"/>
          <w:sz w:val="24"/>
          <w:lang w:eastAsia="zh-CN"/>
        </w:rPr>
      </w:pPr>
      <w:r>
        <w:rPr>
          <w:sz w:val="24"/>
        </w:rPr>
        <w:t>202</w:t>
      </w:r>
      <w:r>
        <w:rPr>
          <w:rFonts w:hint="eastAsia"/>
          <w:sz w:val="24"/>
          <w:lang w:val="en-US" w:eastAsia="zh-CN"/>
        </w:rPr>
        <w:t>6</w:t>
      </w:r>
      <w:r>
        <w:rPr>
          <w:sz w:val="24"/>
        </w:rPr>
        <w:t>年7月～1</w:t>
      </w:r>
      <w:r>
        <w:rPr>
          <w:rFonts w:hint="eastAsia"/>
          <w:sz w:val="24"/>
          <w:lang w:val="en-US" w:eastAsia="zh-CN"/>
        </w:rPr>
        <w:t>1</w:t>
      </w:r>
      <w:r>
        <w:rPr>
          <w:sz w:val="24"/>
        </w:rPr>
        <w:t>月：</w:t>
      </w:r>
      <w:r>
        <w:rPr>
          <w:rFonts w:hint="eastAsia"/>
          <w:sz w:val="24"/>
        </w:rPr>
        <w:t>根据</w:t>
      </w:r>
      <w:r>
        <w:rPr>
          <w:rFonts w:hint="eastAsia"/>
          <w:sz w:val="24"/>
          <w:lang w:eastAsia="zh-CN"/>
        </w:rPr>
        <w:t>对校准规范征求意见稿</w:t>
      </w:r>
      <w:r>
        <w:rPr>
          <w:rFonts w:hint="eastAsia"/>
          <w:sz w:val="24"/>
        </w:rPr>
        <w:t>收集的意见情况，对规范进行修改完善，形成报审稿</w:t>
      </w:r>
      <w:r>
        <w:rPr>
          <w:rFonts w:hint="eastAsia"/>
          <w:sz w:val="24"/>
          <w:lang w:eastAsia="zh-CN"/>
        </w:rPr>
        <w:t>；</w:t>
      </w:r>
    </w:p>
    <w:p w14:paraId="0A449790">
      <w:pPr>
        <w:spacing w:line="360" w:lineRule="auto"/>
        <w:ind w:firstLine="480" w:firstLineChars="200"/>
        <w:rPr>
          <w:rFonts w:hint="eastAsia"/>
          <w:sz w:val="24"/>
        </w:rPr>
      </w:pPr>
      <w:r>
        <w:rPr>
          <w:rFonts w:hint="eastAsia"/>
          <w:sz w:val="24"/>
        </w:rPr>
        <w:t>2</w:t>
      </w:r>
      <w:r>
        <w:rPr>
          <w:sz w:val="24"/>
        </w:rPr>
        <w:t>02</w:t>
      </w:r>
      <w:r>
        <w:rPr>
          <w:rFonts w:hint="eastAsia"/>
          <w:sz w:val="24"/>
          <w:lang w:val="en-US" w:eastAsia="zh-CN"/>
        </w:rPr>
        <w:t>6</w:t>
      </w:r>
      <w:r>
        <w:rPr>
          <w:rFonts w:hint="eastAsia"/>
          <w:sz w:val="24"/>
        </w:rPr>
        <w:t>年</w:t>
      </w:r>
      <w:r>
        <w:rPr>
          <w:rFonts w:hint="eastAsia"/>
          <w:sz w:val="24"/>
          <w:lang w:val="en-US" w:eastAsia="zh-CN"/>
        </w:rPr>
        <w:t>12</w:t>
      </w:r>
      <w:r>
        <w:rPr>
          <w:rFonts w:hint="eastAsia"/>
          <w:sz w:val="24"/>
        </w:rPr>
        <w:t>月</w:t>
      </w:r>
      <w:r>
        <w:rPr>
          <w:rFonts w:hint="eastAsia" w:ascii="Times New Roman" w:hAnsi="Times New Roman" w:eastAsia="宋体" w:cs="Times New Roman"/>
          <w:sz w:val="24"/>
        </w:rPr>
        <w:t>：按</w:t>
      </w:r>
      <w:r>
        <w:rPr>
          <w:rFonts w:hint="eastAsia" w:ascii="宋体" w:hAnsi="宋体" w:eastAsia="宋体" w:cs="宋体"/>
          <w:sz w:val="24"/>
          <w:szCs w:val="24"/>
        </w:rPr>
        <w:t>全国电磁计量技术委员会</w:t>
      </w:r>
      <w:r>
        <w:rPr>
          <w:rFonts w:hint="eastAsia" w:ascii="Times New Roman" w:hAnsi="Times New Roman" w:eastAsia="宋体" w:cs="Times New Roman"/>
          <w:sz w:val="24"/>
        </w:rPr>
        <w:t>的统</w:t>
      </w:r>
      <w:r>
        <w:rPr>
          <w:rFonts w:hint="eastAsia"/>
          <w:sz w:val="24"/>
        </w:rPr>
        <w:t>一安排，组织对报审稿进行了预审。</w:t>
      </w:r>
    </w:p>
    <w:p w14:paraId="7FD58814">
      <w:pPr>
        <w:widowControl w:val="0"/>
        <w:numPr>
          <w:ilvl w:val="0"/>
          <w:numId w:val="0"/>
        </w:numPr>
        <w:spacing w:line="360" w:lineRule="auto"/>
        <w:ind w:leftChars="0"/>
        <w:jc w:val="both"/>
        <w:rPr>
          <w:rFonts w:hint="default"/>
          <w:sz w:val="24"/>
          <w:szCs w:val="24"/>
          <w:lang w:val="en-US" w:eastAsia="zh-CN"/>
        </w:rPr>
      </w:pPr>
    </w:p>
    <w:p w14:paraId="5A4305A7">
      <w:pPr>
        <w:spacing w:line="360" w:lineRule="auto"/>
        <w:rPr>
          <w:rFonts w:hint="eastAsia" w:ascii="宋体" w:hAnsi="宋体"/>
          <w:b/>
          <w:sz w:val="28"/>
          <w:szCs w:val="28"/>
          <w:highlight w:val="none"/>
        </w:rPr>
      </w:pPr>
      <w:r>
        <w:rPr>
          <w:rFonts w:hint="eastAsia" w:ascii="宋体" w:hAnsi="宋体"/>
          <w:b/>
          <w:sz w:val="28"/>
          <w:szCs w:val="28"/>
          <w:highlight w:val="none"/>
          <w:lang w:eastAsia="zh-CN"/>
        </w:rPr>
        <w:t>四、</w:t>
      </w:r>
      <w:r>
        <w:rPr>
          <w:rFonts w:hint="eastAsia" w:ascii="宋体" w:hAnsi="宋体"/>
          <w:b/>
          <w:sz w:val="28"/>
          <w:szCs w:val="28"/>
          <w:highlight w:val="none"/>
        </w:rPr>
        <w:t>编写主要内容</w:t>
      </w:r>
    </w:p>
    <w:p w14:paraId="03BE1467">
      <w:pPr>
        <w:spacing w:line="360" w:lineRule="auto"/>
        <w:ind w:firstLine="570"/>
        <w:rPr>
          <w:rFonts w:hint="eastAsia"/>
          <w:sz w:val="24"/>
          <w:szCs w:val="24"/>
          <w:highlight w:val="none"/>
        </w:rPr>
      </w:pPr>
      <w:r>
        <w:rPr>
          <w:rFonts w:hint="eastAsia"/>
          <w:sz w:val="24"/>
          <w:szCs w:val="24"/>
          <w:highlight w:val="none"/>
        </w:rPr>
        <w:t>按照国家计量校准规范编制要求，本规范内容结构上共分为九章，分别是第一章范围、第二章引用文件、第三章术语和计量单位、第四章概述、第五章计量特性、第六章校准条件、第七章校准项目和校准方法、第八章校准结果表达及第九章复校时间间隔</w:t>
      </w:r>
      <w:r>
        <w:rPr>
          <w:rFonts w:hint="eastAsia"/>
          <w:sz w:val="24"/>
          <w:szCs w:val="24"/>
          <w:highlight w:val="none"/>
          <w:lang w:eastAsia="zh-CN"/>
        </w:rPr>
        <w:t>、</w:t>
      </w:r>
      <w:r>
        <w:rPr>
          <w:rFonts w:hint="eastAsia"/>
          <w:sz w:val="24"/>
          <w:szCs w:val="24"/>
          <w:highlight w:val="none"/>
        </w:rPr>
        <w:t>附录A 校准原始记录格式</w:t>
      </w:r>
      <w:r>
        <w:rPr>
          <w:rFonts w:hint="eastAsia"/>
          <w:sz w:val="24"/>
          <w:szCs w:val="24"/>
          <w:highlight w:val="none"/>
          <w:lang w:eastAsia="zh-CN"/>
        </w:rPr>
        <w:t>、</w:t>
      </w:r>
      <w:r>
        <w:rPr>
          <w:rFonts w:hint="eastAsia"/>
          <w:sz w:val="24"/>
          <w:szCs w:val="24"/>
          <w:highlight w:val="none"/>
        </w:rPr>
        <w:t>附录</w:t>
      </w:r>
      <w:r>
        <w:rPr>
          <w:rFonts w:hint="eastAsia"/>
          <w:sz w:val="24"/>
          <w:szCs w:val="24"/>
          <w:highlight w:val="none"/>
          <w:lang w:val="en-US" w:eastAsia="zh-CN"/>
        </w:rPr>
        <w:t>B</w:t>
      </w:r>
      <w:r>
        <w:rPr>
          <w:rFonts w:hint="eastAsia"/>
          <w:sz w:val="24"/>
          <w:szCs w:val="24"/>
          <w:highlight w:val="none"/>
        </w:rPr>
        <w:t xml:space="preserve"> 校准证书内页格式</w:t>
      </w:r>
      <w:r>
        <w:rPr>
          <w:rFonts w:hint="eastAsia"/>
          <w:sz w:val="24"/>
          <w:szCs w:val="24"/>
          <w:highlight w:val="none"/>
          <w:lang w:eastAsia="zh-CN"/>
        </w:rPr>
        <w:t>、</w:t>
      </w:r>
      <w:r>
        <w:rPr>
          <w:rFonts w:hint="eastAsia"/>
          <w:sz w:val="24"/>
          <w:szCs w:val="24"/>
          <w:highlight w:val="none"/>
        </w:rPr>
        <w:t>附录</w:t>
      </w:r>
      <w:r>
        <w:rPr>
          <w:rFonts w:hint="eastAsia"/>
          <w:sz w:val="24"/>
          <w:szCs w:val="24"/>
          <w:highlight w:val="none"/>
          <w:lang w:val="en-US" w:eastAsia="zh-CN"/>
        </w:rPr>
        <w:t>C交变磁强计频率响应不确定度评定示例</w:t>
      </w:r>
      <w:r>
        <w:rPr>
          <w:rFonts w:hint="eastAsia"/>
          <w:sz w:val="24"/>
          <w:szCs w:val="24"/>
          <w:highlight w:val="none"/>
        </w:rPr>
        <w:t>。</w:t>
      </w:r>
    </w:p>
    <w:p w14:paraId="61B80A57">
      <w:pPr>
        <w:spacing w:line="360" w:lineRule="auto"/>
        <w:rPr>
          <w:rFonts w:hint="eastAsia" w:ascii="宋体" w:hAnsi="宋体"/>
          <w:b/>
          <w:sz w:val="28"/>
          <w:szCs w:val="28"/>
          <w:highlight w:val="none"/>
        </w:rPr>
      </w:pPr>
      <w:r>
        <w:rPr>
          <w:rFonts w:hint="eastAsia" w:ascii="宋体" w:hAnsi="宋体"/>
          <w:b/>
          <w:sz w:val="28"/>
          <w:szCs w:val="28"/>
          <w:highlight w:val="none"/>
          <w:lang w:eastAsia="zh-CN"/>
        </w:rPr>
        <w:t>五、</w:t>
      </w:r>
      <w:r>
        <w:rPr>
          <w:rFonts w:hint="eastAsia" w:ascii="宋体" w:hAnsi="宋体"/>
          <w:b/>
          <w:sz w:val="28"/>
          <w:szCs w:val="28"/>
          <w:highlight w:val="none"/>
        </w:rPr>
        <w:t>编制说明</w:t>
      </w:r>
    </w:p>
    <w:p w14:paraId="2E463CA8">
      <w:pPr>
        <w:spacing w:line="360" w:lineRule="auto"/>
        <w:rPr>
          <w:rFonts w:hint="eastAsia"/>
          <w:b/>
          <w:bCs/>
          <w:sz w:val="24"/>
          <w:szCs w:val="24"/>
          <w:highlight w:val="none"/>
        </w:rPr>
      </w:pPr>
      <w:r>
        <w:rPr>
          <w:rFonts w:hint="eastAsia"/>
          <w:b/>
          <w:bCs/>
          <w:sz w:val="24"/>
          <w:szCs w:val="24"/>
          <w:highlight w:val="none"/>
          <w:lang w:val="en-US" w:eastAsia="zh-CN"/>
        </w:rPr>
        <w:t>1、</w:t>
      </w:r>
      <w:r>
        <w:rPr>
          <w:rFonts w:hint="eastAsia"/>
          <w:b/>
          <w:bCs/>
          <w:sz w:val="24"/>
          <w:szCs w:val="24"/>
          <w:highlight w:val="none"/>
        </w:rPr>
        <w:t>调研和编制情况</w:t>
      </w:r>
    </w:p>
    <w:p w14:paraId="629BAC72">
      <w:pPr>
        <w:spacing w:line="360" w:lineRule="auto"/>
        <w:ind w:firstLine="510"/>
        <w:rPr>
          <w:rFonts w:hint="eastAsia"/>
          <w:sz w:val="24"/>
          <w:szCs w:val="24"/>
          <w:highlight w:val="none"/>
        </w:rPr>
      </w:pPr>
      <w:r>
        <w:rPr>
          <w:rFonts w:hint="eastAsia"/>
          <w:sz w:val="24"/>
          <w:szCs w:val="24"/>
          <w:highlight w:val="none"/>
        </w:rPr>
        <w:t>根据任务需求，规范编写组调研了国内外生产的各种</w:t>
      </w:r>
      <w:r>
        <w:rPr>
          <w:rFonts w:hint="eastAsia"/>
          <w:sz w:val="24"/>
          <w:szCs w:val="24"/>
          <w:highlight w:val="none"/>
          <w:lang w:eastAsia="zh-CN"/>
        </w:rPr>
        <w:t>低频</w:t>
      </w:r>
      <w:r>
        <w:rPr>
          <w:rFonts w:hint="eastAsia"/>
          <w:sz w:val="24"/>
          <w:szCs w:val="24"/>
          <w:highlight w:val="none"/>
          <w:lang w:val="en-US" w:eastAsia="zh-CN"/>
        </w:rPr>
        <w:t>磁</w:t>
      </w:r>
      <w:r>
        <w:rPr>
          <w:rFonts w:hint="eastAsia"/>
          <w:sz w:val="24"/>
          <w:szCs w:val="24"/>
          <w:highlight w:val="none"/>
          <w:lang w:eastAsia="zh-CN"/>
        </w:rPr>
        <w:t>场测量仪</w:t>
      </w:r>
      <w:r>
        <w:rPr>
          <w:rFonts w:hint="eastAsia"/>
          <w:sz w:val="24"/>
          <w:szCs w:val="24"/>
          <w:highlight w:val="none"/>
        </w:rPr>
        <w:t>的技术性能和使用情况，对国内开展</w:t>
      </w:r>
      <w:r>
        <w:rPr>
          <w:rFonts w:hint="eastAsia"/>
          <w:sz w:val="24"/>
          <w:szCs w:val="24"/>
          <w:highlight w:val="none"/>
          <w:lang w:eastAsia="zh-CN"/>
        </w:rPr>
        <w:t>低频磁场测量仪</w:t>
      </w:r>
      <w:r>
        <w:rPr>
          <w:rFonts w:hint="eastAsia"/>
          <w:sz w:val="24"/>
          <w:szCs w:val="24"/>
          <w:highlight w:val="none"/>
        </w:rPr>
        <w:t>校准的主要技术机构进行了相关技术调研，查阅了相关文献资料，</w:t>
      </w:r>
      <w:r>
        <w:rPr>
          <w:rFonts w:hint="eastAsia"/>
          <w:sz w:val="24"/>
          <w:szCs w:val="24"/>
          <w:highlight w:val="none"/>
          <w:lang w:eastAsia="zh-CN"/>
        </w:rPr>
        <w:t>与生产厂家</w:t>
      </w:r>
      <w:r>
        <w:rPr>
          <w:rFonts w:hint="eastAsia"/>
          <w:sz w:val="24"/>
          <w:szCs w:val="24"/>
          <w:highlight w:val="none"/>
        </w:rPr>
        <w:t>进行了咨询和讨论，梳理了</w:t>
      </w:r>
      <w:r>
        <w:rPr>
          <w:rFonts w:hint="eastAsia"/>
          <w:sz w:val="24"/>
          <w:szCs w:val="24"/>
          <w:highlight w:val="none"/>
          <w:lang w:eastAsia="zh-CN"/>
        </w:rPr>
        <w:t>低频磁场测量仪</w:t>
      </w:r>
      <w:r>
        <w:rPr>
          <w:rFonts w:hint="eastAsia"/>
          <w:sz w:val="24"/>
          <w:szCs w:val="24"/>
          <w:highlight w:val="none"/>
        </w:rPr>
        <w:t>的技术指标和校准方法，规定了校准的范围、计量性能要求、校准方法、校准项目、校准结果表达、复校时间间隔等方面的内容。</w:t>
      </w:r>
    </w:p>
    <w:p w14:paraId="0D158CDA">
      <w:pPr>
        <w:spacing w:line="360" w:lineRule="auto"/>
        <w:ind w:firstLine="510"/>
        <w:rPr>
          <w:rFonts w:hint="default" w:eastAsia="宋体"/>
          <w:sz w:val="24"/>
          <w:szCs w:val="24"/>
          <w:highlight w:val="none"/>
          <w:lang w:val="en-US" w:eastAsia="zh-CN"/>
        </w:rPr>
      </w:pPr>
      <w:r>
        <w:rPr>
          <w:rFonts w:hint="eastAsia"/>
          <w:sz w:val="24"/>
          <w:szCs w:val="24"/>
          <w:highlight w:val="none"/>
          <w:lang w:eastAsia="zh-CN"/>
        </w:rPr>
        <w:t>国内外主要产品及技术指标如下表</w:t>
      </w:r>
      <w:r>
        <w:rPr>
          <w:rFonts w:hint="eastAsia"/>
          <w:sz w:val="24"/>
          <w:szCs w:val="24"/>
          <w:highlight w:val="none"/>
          <w:lang w:val="en-US" w:eastAsia="zh-CN"/>
        </w:rPr>
        <w:t>2：</w:t>
      </w:r>
    </w:p>
    <w:p w14:paraId="2A3E2AA0">
      <w:pPr>
        <w:jc w:val="center"/>
        <w:rPr>
          <w:rFonts w:hint="eastAsia" w:ascii="宋体" w:hAnsi="宋体" w:cs="宋体"/>
          <w:sz w:val="21"/>
          <w:szCs w:val="21"/>
          <w:lang w:eastAsia="zh-CN"/>
        </w:rPr>
      </w:pPr>
      <w:r>
        <w:rPr>
          <w:rFonts w:hint="eastAsia" w:ascii="宋体" w:hAnsi="宋体" w:cs="宋体"/>
          <w:sz w:val="21"/>
          <w:szCs w:val="21"/>
          <w:lang w:eastAsia="zh-CN"/>
        </w:rPr>
        <w:t>表</w:t>
      </w:r>
      <w:r>
        <w:rPr>
          <w:rFonts w:hint="eastAsia" w:ascii="宋体" w:hAnsi="宋体" w:cs="宋体"/>
          <w:sz w:val="21"/>
          <w:szCs w:val="21"/>
          <w:lang w:val="en-US" w:eastAsia="zh-CN"/>
        </w:rPr>
        <w:t>2</w:t>
      </w:r>
      <w:r>
        <w:rPr>
          <w:rFonts w:hint="eastAsia" w:ascii="宋体" w:hAnsi="宋体" w:cs="宋体"/>
          <w:sz w:val="21"/>
          <w:szCs w:val="21"/>
          <w:lang w:eastAsia="zh-CN"/>
        </w:rPr>
        <w:t xml:space="preserve"> 主要低频磁场测量仪的技术指标</w:t>
      </w:r>
    </w:p>
    <w:tbl>
      <w:tblPr>
        <w:tblStyle w:val="6"/>
        <w:tblW w:w="8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3074"/>
        <w:gridCol w:w="2242"/>
        <w:gridCol w:w="2304"/>
      </w:tblGrid>
      <w:tr w14:paraId="74C7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45" w:type="dxa"/>
            <w:shd w:val="clear" w:color="auto" w:fill="auto"/>
            <w:noWrap w:val="0"/>
            <w:vAlign w:val="center"/>
          </w:tcPr>
          <w:p w14:paraId="74A4C56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Cs w:val="21"/>
                <w:highlight w:val="none"/>
              </w:rPr>
            </w:pPr>
            <w:r>
              <w:rPr>
                <w:rFonts w:hint="eastAsia"/>
                <w:szCs w:val="21"/>
                <w:highlight w:val="none"/>
              </w:rPr>
              <w:t>型号</w:t>
            </w:r>
          </w:p>
        </w:tc>
        <w:tc>
          <w:tcPr>
            <w:tcW w:w="3074" w:type="dxa"/>
            <w:shd w:val="clear" w:color="auto" w:fill="auto"/>
            <w:noWrap w:val="0"/>
            <w:vAlign w:val="center"/>
          </w:tcPr>
          <w:p w14:paraId="7C8E15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Cs w:val="21"/>
                <w:highlight w:val="none"/>
              </w:rPr>
            </w:pPr>
            <w:r>
              <w:rPr>
                <w:rFonts w:hint="eastAsia"/>
                <w:szCs w:val="21"/>
                <w:highlight w:val="none"/>
              </w:rPr>
              <w:t>生产厂家</w:t>
            </w:r>
          </w:p>
        </w:tc>
        <w:tc>
          <w:tcPr>
            <w:tcW w:w="2242" w:type="dxa"/>
            <w:shd w:val="clear" w:color="auto" w:fill="auto"/>
            <w:noWrap w:val="0"/>
            <w:vAlign w:val="center"/>
          </w:tcPr>
          <w:p w14:paraId="5CDEAA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Cs w:val="21"/>
                <w:highlight w:val="none"/>
                <w:lang w:eastAsia="zh-CN"/>
              </w:rPr>
            </w:pPr>
            <w:r>
              <w:rPr>
                <w:rFonts w:hint="eastAsia"/>
                <w:szCs w:val="21"/>
                <w:highlight w:val="none"/>
                <w:lang w:eastAsia="zh-CN"/>
              </w:rPr>
              <w:t>频率范围</w:t>
            </w:r>
          </w:p>
        </w:tc>
        <w:tc>
          <w:tcPr>
            <w:tcW w:w="2304" w:type="dxa"/>
            <w:shd w:val="clear" w:color="auto" w:fill="auto"/>
            <w:noWrap w:val="0"/>
            <w:vAlign w:val="center"/>
          </w:tcPr>
          <w:p w14:paraId="35DE95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Cs w:val="21"/>
                <w:highlight w:val="none"/>
                <w:lang w:eastAsia="zh-CN"/>
              </w:rPr>
            </w:pPr>
            <w:r>
              <w:rPr>
                <w:rFonts w:hint="eastAsia"/>
                <w:szCs w:val="21"/>
                <w:highlight w:val="none"/>
                <w:lang w:eastAsia="zh-CN"/>
              </w:rPr>
              <w:t>磁场强度</w:t>
            </w:r>
          </w:p>
        </w:tc>
      </w:tr>
      <w:tr w14:paraId="25905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45" w:type="dxa"/>
            <w:shd w:val="clear" w:color="auto" w:fill="auto"/>
            <w:noWrap w:val="0"/>
            <w:vAlign w:val="center"/>
          </w:tcPr>
          <w:p w14:paraId="409865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Cs w:val="21"/>
                <w:highlight w:val="none"/>
                <w:lang w:val="en-US" w:eastAsia="zh-CN"/>
              </w:rPr>
            </w:pPr>
            <w:r>
              <w:rPr>
                <w:rFonts w:hint="eastAsia"/>
                <w:szCs w:val="21"/>
                <w:highlight w:val="none"/>
                <w:lang w:val="en-US" w:eastAsia="zh-CN"/>
              </w:rPr>
              <w:t>LF-01</w:t>
            </w:r>
          </w:p>
        </w:tc>
        <w:tc>
          <w:tcPr>
            <w:tcW w:w="3074" w:type="dxa"/>
            <w:shd w:val="clear" w:color="auto" w:fill="auto"/>
            <w:noWrap w:val="0"/>
            <w:vAlign w:val="center"/>
          </w:tcPr>
          <w:p w14:paraId="04F8CEA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Cs w:val="21"/>
                <w:highlight w:val="none"/>
                <w:lang w:eastAsia="zh-CN"/>
              </w:rPr>
            </w:pPr>
            <w:r>
              <w:rPr>
                <w:rFonts w:hint="eastAsia"/>
                <w:szCs w:val="21"/>
                <w:highlight w:val="none"/>
                <w:lang w:eastAsia="zh-CN"/>
              </w:rPr>
              <w:t>北京森馥科技股份有限公司</w:t>
            </w:r>
          </w:p>
        </w:tc>
        <w:tc>
          <w:tcPr>
            <w:tcW w:w="2242" w:type="dxa"/>
            <w:shd w:val="clear" w:color="auto" w:fill="auto"/>
            <w:noWrap w:val="0"/>
            <w:vAlign w:val="center"/>
          </w:tcPr>
          <w:p w14:paraId="4FDE7B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Cs w:val="21"/>
                <w:highlight w:val="none"/>
                <w:lang w:val="en-US" w:eastAsia="zh-CN"/>
              </w:rPr>
            </w:pPr>
            <w:r>
              <w:rPr>
                <w:rFonts w:hint="eastAsia"/>
                <w:szCs w:val="21"/>
                <w:highlight w:val="none"/>
                <w:lang w:val="en-US" w:eastAsia="zh-CN"/>
              </w:rPr>
              <w:t>1Hz～100kHz</w:t>
            </w:r>
          </w:p>
        </w:tc>
        <w:tc>
          <w:tcPr>
            <w:tcW w:w="2304" w:type="dxa"/>
            <w:shd w:val="clear" w:color="auto" w:fill="auto"/>
            <w:noWrap w:val="0"/>
            <w:vAlign w:val="center"/>
          </w:tcPr>
          <w:p w14:paraId="20508E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Cs w:val="21"/>
                <w:highlight w:val="none"/>
              </w:rPr>
            </w:pPr>
            <w:r>
              <w:rPr>
                <w:rFonts w:hint="eastAsia"/>
                <w:szCs w:val="21"/>
                <w:highlight w:val="none"/>
              </w:rPr>
              <w:t>1nT~10mT</w:t>
            </w:r>
          </w:p>
        </w:tc>
      </w:tr>
      <w:tr w14:paraId="2DFD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45" w:type="dxa"/>
            <w:shd w:val="clear" w:color="auto" w:fill="auto"/>
            <w:noWrap w:val="0"/>
            <w:vAlign w:val="center"/>
          </w:tcPr>
          <w:p w14:paraId="171BF2F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Cs w:val="21"/>
                <w:highlight w:val="none"/>
                <w:lang w:val="en-US" w:eastAsia="zh-CN"/>
              </w:rPr>
            </w:pPr>
            <w:r>
              <w:rPr>
                <w:rFonts w:hint="eastAsia"/>
                <w:szCs w:val="21"/>
                <w:highlight w:val="none"/>
                <w:lang w:val="en-US" w:eastAsia="zh-CN"/>
              </w:rPr>
              <w:t>EHP-50D</w:t>
            </w:r>
          </w:p>
        </w:tc>
        <w:tc>
          <w:tcPr>
            <w:tcW w:w="3074" w:type="dxa"/>
            <w:shd w:val="clear" w:color="auto" w:fill="auto"/>
            <w:noWrap w:val="0"/>
            <w:vAlign w:val="center"/>
          </w:tcPr>
          <w:p w14:paraId="16E5AB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eastAsia="宋体"/>
                <w:szCs w:val="21"/>
                <w:highlight w:val="none"/>
                <w:lang w:val="en-US" w:eastAsia="zh-CN"/>
              </w:rPr>
            </w:pPr>
            <w:r>
              <w:rPr>
                <w:rFonts w:hint="eastAsia"/>
                <w:szCs w:val="21"/>
                <w:highlight w:val="none"/>
                <w:lang w:val="en-US" w:eastAsia="zh-CN"/>
              </w:rPr>
              <w:t>德国Narda</w:t>
            </w:r>
          </w:p>
        </w:tc>
        <w:tc>
          <w:tcPr>
            <w:tcW w:w="2242" w:type="dxa"/>
            <w:shd w:val="clear" w:color="auto" w:fill="auto"/>
            <w:noWrap w:val="0"/>
            <w:vAlign w:val="center"/>
          </w:tcPr>
          <w:p w14:paraId="50A620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Cs w:val="21"/>
                <w:highlight w:val="none"/>
              </w:rPr>
            </w:pPr>
            <w:r>
              <w:rPr>
                <w:rFonts w:hint="eastAsia"/>
                <w:szCs w:val="21"/>
                <w:highlight w:val="none"/>
                <w:lang w:val="en-US" w:eastAsia="zh-CN"/>
              </w:rPr>
              <w:t>1Hz～400kHz</w:t>
            </w:r>
          </w:p>
        </w:tc>
        <w:tc>
          <w:tcPr>
            <w:tcW w:w="2304" w:type="dxa"/>
            <w:shd w:val="clear" w:color="auto" w:fill="auto"/>
            <w:noWrap w:val="0"/>
            <w:vAlign w:val="center"/>
          </w:tcPr>
          <w:p w14:paraId="7828E2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Cs w:val="21"/>
                <w:highlight w:val="none"/>
              </w:rPr>
            </w:pPr>
            <w:r>
              <w:rPr>
                <w:rFonts w:hint="eastAsia"/>
                <w:szCs w:val="21"/>
                <w:highlight w:val="none"/>
              </w:rPr>
              <w:t>0,3 nT 至 10 mT</w:t>
            </w:r>
          </w:p>
        </w:tc>
      </w:tr>
    </w:tbl>
    <w:p w14:paraId="6684D8BA">
      <w:pPr>
        <w:spacing w:line="360" w:lineRule="auto"/>
        <w:ind w:firstLine="480" w:firstLineChars="200"/>
        <w:rPr>
          <w:rFonts w:hint="default"/>
          <w:sz w:val="24"/>
          <w:szCs w:val="24"/>
          <w:highlight w:val="none"/>
          <w:lang w:val="en-US" w:eastAsia="zh-CN"/>
        </w:rPr>
      </w:pPr>
      <w:r>
        <w:rPr>
          <w:rFonts w:hint="eastAsia"/>
          <w:sz w:val="24"/>
          <w:szCs w:val="24"/>
          <w:highlight w:val="none"/>
          <w:lang w:eastAsia="zh-CN"/>
        </w:rPr>
        <w:t>从上表可知，市面上主要的低频磁场测量仪的计量特性主要是不同频率下的磁场强度。本次制定的低频磁场测量仪的计量特性的频率范围为</w:t>
      </w:r>
      <w:r>
        <w:rPr>
          <w:rFonts w:hint="eastAsia"/>
          <w:sz w:val="24"/>
          <w:szCs w:val="24"/>
          <w:highlight w:val="none"/>
          <w:lang w:val="en-US" w:eastAsia="zh-CN"/>
        </w:rPr>
        <w:t>1Hz～100kHz，磁场强度测量范围1µT~1.5mT。</w:t>
      </w:r>
    </w:p>
    <w:p w14:paraId="678631CD">
      <w:pPr>
        <w:spacing w:line="360" w:lineRule="auto"/>
        <w:ind w:firstLine="480" w:firstLineChars="200"/>
        <w:rPr>
          <w:rFonts w:hint="eastAsia"/>
          <w:sz w:val="24"/>
          <w:szCs w:val="24"/>
          <w:highlight w:val="none"/>
          <w:lang w:eastAsia="zh-CN"/>
        </w:rPr>
      </w:pPr>
      <w:r>
        <w:rPr>
          <w:rFonts w:hint="eastAsia"/>
          <w:sz w:val="24"/>
          <w:szCs w:val="24"/>
          <w:highlight w:val="none"/>
          <w:lang w:eastAsia="zh-CN"/>
        </w:rPr>
        <w:t>由于低频电场测量仪在实际使用和校准过程中，都是测量空间中的电磁场，因此，本规范在评定不确定度时，除了考虑常规的电压、距离、位置等影响量外，还考虑了装置产生标准场的场均匀性，以及被测件放入该标准场中引起的场扰动等的影响量。</w:t>
      </w:r>
    </w:p>
    <w:p w14:paraId="480FA09A">
      <w:pPr>
        <w:spacing w:line="360" w:lineRule="auto"/>
        <w:rPr>
          <w:rFonts w:hint="eastAsia"/>
          <w:b/>
          <w:bCs/>
          <w:sz w:val="24"/>
          <w:szCs w:val="24"/>
          <w:highlight w:val="none"/>
          <w:lang w:eastAsia="zh-CN"/>
        </w:rPr>
      </w:pPr>
      <w:r>
        <w:rPr>
          <w:rFonts w:hint="eastAsia"/>
          <w:b/>
          <w:bCs/>
          <w:sz w:val="24"/>
          <w:szCs w:val="24"/>
          <w:highlight w:val="none"/>
          <w:lang w:val="en-US" w:eastAsia="zh-CN"/>
        </w:rPr>
        <w:t>2、</w:t>
      </w:r>
      <w:r>
        <w:rPr>
          <w:rFonts w:hint="eastAsia"/>
          <w:b/>
          <w:bCs/>
          <w:sz w:val="24"/>
          <w:szCs w:val="24"/>
          <w:highlight w:val="none"/>
          <w:lang w:eastAsia="zh-CN"/>
        </w:rPr>
        <w:t>验证情况</w:t>
      </w:r>
    </w:p>
    <w:p w14:paraId="3C2E8CD5">
      <w:pPr>
        <w:spacing w:line="360" w:lineRule="auto"/>
        <w:ind w:firstLine="480" w:firstLineChars="200"/>
        <w:rPr>
          <w:rFonts w:hint="eastAsia"/>
          <w:sz w:val="24"/>
          <w:szCs w:val="24"/>
          <w:highlight w:val="none"/>
          <w:lang w:eastAsia="zh-CN"/>
        </w:rPr>
      </w:pPr>
      <w:r>
        <w:rPr>
          <w:rFonts w:hint="eastAsia"/>
          <w:sz w:val="24"/>
          <w:szCs w:val="24"/>
          <w:highlight w:val="none"/>
          <w:lang w:eastAsia="zh-CN"/>
        </w:rPr>
        <w:t>为验证本规范中所规定的校准项目和校准方法的正确性和可行性，编写组选择德国</w:t>
      </w:r>
      <w:r>
        <w:rPr>
          <w:rFonts w:hint="eastAsia"/>
          <w:sz w:val="24"/>
          <w:szCs w:val="24"/>
          <w:highlight w:val="none"/>
          <w:lang w:val="en-US" w:eastAsia="zh-CN"/>
        </w:rPr>
        <w:t>narda公司的EHP-50D电磁辐射分析仪</w:t>
      </w:r>
      <w:r>
        <w:rPr>
          <w:rFonts w:hint="eastAsia"/>
          <w:sz w:val="24"/>
          <w:szCs w:val="24"/>
          <w:highlight w:val="none"/>
          <w:lang w:eastAsia="zh-CN"/>
        </w:rPr>
        <w:t>为试验对象，对规范包含的全部校准项目进行了验证，并编制了试验报告。验证试验结果表明，规范规定的校准项目和技术要求合理，校准方法正确，实际操作性强，校准数据准确，校准规范可行。</w:t>
      </w:r>
    </w:p>
    <w:p w14:paraId="651E5984">
      <w:pPr>
        <w:spacing w:line="360" w:lineRule="auto"/>
        <w:rPr>
          <w:rFonts w:hint="eastAsia" w:ascii="宋体" w:hAnsi="宋体"/>
          <w:b/>
          <w:bCs w:val="0"/>
          <w:sz w:val="28"/>
          <w:szCs w:val="28"/>
          <w:highlight w:val="none"/>
        </w:rPr>
      </w:pPr>
      <w:r>
        <w:rPr>
          <w:rFonts w:hint="eastAsia" w:ascii="宋体" w:hAnsi="宋体"/>
          <w:b/>
          <w:bCs w:val="0"/>
          <w:sz w:val="28"/>
          <w:szCs w:val="28"/>
          <w:highlight w:val="none"/>
          <w:lang w:eastAsia="zh-CN"/>
        </w:rPr>
        <w:t>六、</w:t>
      </w:r>
      <w:r>
        <w:rPr>
          <w:rFonts w:hint="eastAsia" w:ascii="宋体" w:hAnsi="宋体"/>
          <w:b/>
          <w:bCs w:val="0"/>
          <w:sz w:val="28"/>
          <w:szCs w:val="28"/>
          <w:highlight w:val="none"/>
        </w:rPr>
        <w:t>参考资料</w:t>
      </w:r>
    </w:p>
    <w:p w14:paraId="3EF120B8">
      <w:pPr>
        <w:spacing w:line="360" w:lineRule="auto"/>
        <w:ind w:firstLine="480" w:firstLineChars="200"/>
        <w:rPr>
          <w:rFonts w:hint="eastAsia"/>
          <w:sz w:val="24"/>
          <w:szCs w:val="24"/>
          <w:highlight w:val="none"/>
          <w:lang w:eastAsia="zh-CN"/>
        </w:rPr>
      </w:pPr>
      <w:r>
        <w:rPr>
          <w:rFonts w:hint="eastAsia"/>
          <w:sz w:val="24"/>
          <w:szCs w:val="24"/>
          <w:highlight w:val="none"/>
          <w:lang w:eastAsia="zh-CN"/>
        </w:rPr>
        <w:t>JJF 1071 国家计量校准规范编写规则</w:t>
      </w:r>
    </w:p>
    <w:p w14:paraId="46DFBAF1">
      <w:pPr>
        <w:spacing w:line="360" w:lineRule="auto"/>
        <w:ind w:firstLine="480" w:firstLineChars="200"/>
        <w:rPr>
          <w:rFonts w:hint="eastAsia"/>
          <w:sz w:val="24"/>
          <w:szCs w:val="24"/>
          <w:highlight w:val="none"/>
          <w:lang w:eastAsia="zh-CN"/>
        </w:rPr>
      </w:pPr>
      <w:r>
        <w:rPr>
          <w:rFonts w:hint="eastAsia"/>
          <w:sz w:val="24"/>
          <w:szCs w:val="24"/>
          <w:highlight w:val="none"/>
          <w:lang w:eastAsia="zh-CN"/>
        </w:rPr>
        <w:t>JJF 1059.1 不确定度评定与表示</w:t>
      </w:r>
    </w:p>
    <w:p w14:paraId="4D86BDE1">
      <w:pPr>
        <w:spacing w:line="360" w:lineRule="auto"/>
        <w:ind w:firstLine="480" w:firstLineChars="200"/>
      </w:pPr>
      <w:r>
        <w:rPr>
          <w:rFonts w:hint="eastAsia"/>
          <w:sz w:val="24"/>
          <w:szCs w:val="24"/>
          <w:highlight w:val="none"/>
          <w:lang w:eastAsia="zh-CN"/>
        </w:rPr>
        <w:t>JJF 1001通用计量术语及定义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DB6A8E"/>
    <w:multiLevelType w:val="multilevel"/>
    <w:tmpl w:val="08DB6A8E"/>
    <w:lvl w:ilvl="0" w:tentative="0">
      <w:start w:val="1"/>
      <w:numFmt w:val="japaneseCounting"/>
      <w:pStyle w:val="3"/>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65C1E32"/>
    <w:multiLevelType w:val="multilevel"/>
    <w:tmpl w:val="665C1E32"/>
    <w:lvl w:ilvl="0" w:tentative="0">
      <w:start w:val="1"/>
      <w:numFmt w:val="lowerLetter"/>
      <w:lvlText w:val="%1)"/>
      <w:lvlJc w:val="left"/>
      <w:pPr>
        <w:tabs>
          <w:tab w:val="left" w:pos="920"/>
        </w:tabs>
        <w:ind w:left="920" w:hanging="360"/>
      </w:pPr>
      <w:rPr>
        <w:rFonts w:ascii="Times New Roman" w:hAnsi="Times New Roman" w:eastAsia="宋体" w:cs="Times New Roman"/>
      </w:rPr>
    </w:lvl>
    <w:lvl w:ilvl="1" w:tentative="0">
      <w:start w:val="1"/>
      <w:numFmt w:val="lowerLetter"/>
      <w:lvlText w:val="%2)"/>
      <w:lvlJc w:val="left"/>
      <w:pPr>
        <w:tabs>
          <w:tab w:val="left" w:pos="1370"/>
        </w:tabs>
        <w:ind w:left="1370" w:hanging="390"/>
      </w:pPr>
      <w:rPr>
        <w:rFonts w:hint="default"/>
      </w:r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zY2U0OGE2NzZiMDQ2NjgzOWJjZGViOTY0OTIwMjgifQ=="/>
  </w:docVars>
  <w:rsids>
    <w:rsidRoot w:val="00000000"/>
    <w:rsid w:val="003D21B2"/>
    <w:rsid w:val="013B4910"/>
    <w:rsid w:val="02A8425B"/>
    <w:rsid w:val="03A367D0"/>
    <w:rsid w:val="03B94246"/>
    <w:rsid w:val="046349BF"/>
    <w:rsid w:val="048C3708"/>
    <w:rsid w:val="04D07A99"/>
    <w:rsid w:val="054364BD"/>
    <w:rsid w:val="05790131"/>
    <w:rsid w:val="05D114F6"/>
    <w:rsid w:val="064B1FDC"/>
    <w:rsid w:val="06F85085"/>
    <w:rsid w:val="07660241"/>
    <w:rsid w:val="07C531B9"/>
    <w:rsid w:val="08183C31"/>
    <w:rsid w:val="086D65D3"/>
    <w:rsid w:val="09D467AF"/>
    <w:rsid w:val="0A382368"/>
    <w:rsid w:val="0AB539B9"/>
    <w:rsid w:val="0AB66B7A"/>
    <w:rsid w:val="0AFD710E"/>
    <w:rsid w:val="0B301291"/>
    <w:rsid w:val="0CF602B9"/>
    <w:rsid w:val="0D7A7C20"/>
    <w:rsid w:val="0E166300"/>
    <w:rsid w:val="0E8F62CF"/>
    <w:rsid w:val="0F670FFA"/>
    <w:rsid w:val="11131439"/>
    <w:rsid w:val="11C95F9C"/>
    <w:rsid w:val="11DB182B"/>
    <w:rsid w:val="12D270D2"/>
    <w:rsid w:val="12F9465F"/>
    <w:rsid w:val="136A10B9"/>
    <w:rsid w:val="14213E6D"/>
    <w:rsid w:val="14F90946"/>
    <w:rsid w:val="16557DFE"/>
    <w:rsid w:val="165C73DE"/>
    <w:rsid w:val="189F7A56"/>
    <w:rsid w:val="18FE477D"/>
    <w:rsid w:val="194D74B2"/>
    <w:rsid w:val="19FB0CBC"/>
    <w:rsid w:val="1A2F6BB8"/>
    <w:rsid w:val="1AD5775F"/>
    <w:rsid w:val="1B1A33C4"/>
    <w:rsid w:val="1B9E5DA3"/>
    <w:rsid w:val="1BA37CB2"/>
    <w:rsid w:val="1BC670A8"/>
    <w:rsid w:val="1C856F63"/>
    <w:rsid w:val="1D063C00"/>
    <w:rsid w:val="1D7C0366"/>
    <w:rsid w:val="1DEC729A"/>
    <w:rsid w:val="1E3B1FCF"/>
    <w:rsid w:val="1E3D18A3"/>
    <w:rsid w:val="1E71779F"/>
    <w:rsid w:val="1EC43D73"/>
    <w:rsid w:val="1F10520A"/>
    <w:rsid w:val="1F4301DD"/>
    <w:rsid w:val="1FDE2C12"/>
    <w:rsid w:val="219537A4"/>
    <w:rsid w:val="21F04E7F"/>
    <w:rsid w:val="22121299"/>
    <w:rsid w:val="22715FC0"/>
    <w:rsid w:val="227C4964"/>
    <w:rsid w:val="22963C78"/>
    <w:rsid w:val="23AA1B0B"/>
    <w:rsid w:val="23CA0447"/>
    <w:rsid w:val="23ED78C8"/>
    <w:rsid w:val="24311EAA"/>
    <w:rsid w:val="247E1076"/>
    <w:rsid w:val="249661B1"/>
    <w:rsid w:val="253634F0"/>
    <w:rsid w:val="255676EF"/>
    <w:rsid w:val="26127ABA"/>
    <w:rsid w:val="26390A95"/>
    <w:rsid w:val="26D42FC1"/>
    <w:rsid w:val="27003DB6"/>
    <w:rsid w:val="27075144"/>
    <w:rsid w:val="27C31D41"/>
    <w:rsid w:val="28924EE2"/>
    <w:rsid w:val="2944442E"/>
    <w:rsid w:val="2A994398"/>
    <w:rsid w:val="2AE31A25"/>
    <w:rsid w:val="2B5E10AB"/>
    <w:rsid w:val="2BC730F4"/>
    <w:rsid w:val="2C5A1872"/>
    <w:rsid w:val="2D984D48"/>
    <w:rsid w:val="2DF91EDD"/>
    <w:rsid w:val="2E137822"/>
    <w:rsid w:val="2E5A0250"/>
    <w:rsid w:val="2E6B420B"/>
    <w:rsid w:val="2EBB5196"/>
    <w:rsid w:val="2F4A2072"/>
    <w:rsid w:val="306A22A0"/>
    <w:rsid w:val="30AF1A48"/>
    <w:rsid w:val="30C96FC7"/>
    <w:rsid w:val="311916B0"/>
    <w:rsid w:val="311F752F"/>
    <w:rsid w:val="31342FDA"/>
    <w:rsid w:val="31413001"/>
    <w:rsid w:val="31D2634F"/>
    <w:rsid w:val="326965BA"/>
    <w:rsid w:val="32696CB3"/>
    <w:rsid w:val="32B51EF8"/>
    <w:rsid w:val="336710D6"/>
    <w:rsid w:val="336E20A7"/>
    <w:rsid w:val="33D17FB8"/>
    <w:rsid w:val="33D95773"/>
    <w:rsid w:val="34C10120"/>
    <w:rsid w:val="34F32864"/>
    <w:rsid w:val="3511718E"/>
    <w:rsid w:val="351F3659"/>
    <w:rsid w:val="35A3428A"/>
    <w:rsid w:val="35F745D6"/>
    <w:rsid w:val="36B44275"/>
    <w:rsid w:val="36D60AFB"/>
    <w:rsid w:val="37887BDC"/>
    <w:rsid w:val="37931D11"/>
    <w:rsid w:val="379876F3"/>
    <w:rsid w:val="387B504A"/>
    <w:rsid w:val="38934A8A"/>
    <w:rsid w:val="38A547BD"/>
    <w:rsid w:val="38B151D6"/>
    <w:rsid w:val="395B4E7C"/>
    <w:rsid w:val="39DC420F"/>
    <w:rsid w:val="39F33306"/>
    <w:rsid w:val="3A080B60"/>
    <w:rsid w:val="3AC70A1B"/>
    <w:rsid w:val="3AE570F3"/>
    <w:rsid w:val="3B5F50F7"/>
    <w:rsid w:val="3B854432"/>
    <w:rsid w:val="3BAC7C11"/>
    <w:rsid w:val="3C700C3E"/>
    <w:rsid w:val="3E630A5B"/>
    <w:rsid w:val="3E686071"/>
    <w:rsid w:val="3EE15E23"/>
    <w:rsid w:val="3F310DEF"/>
    <w:rsid w:val="40786313"/>
    <w:rsid w:val="40C854ED"/>
    <w:rsid w:val="40DC2D46"/>
    <w:rsid w:val="40EA7211"/>
    <w:rsid w:val="4230334A"/>
    <w:rsid w:val="42380450"/>
    <w:rsid w:val="42707BEA"/>
    <w:rsid w:val="42F27E38"/>
    <w:rsid w:val="435B43F6"/>
    <w:rsid w:val="4391606A"/>
    <w:rsid w:val="43AC4C52"/>
    <w:rsid w:val="43DD1CAD"/>
    <w:rsid w:val="44650D7A"/>
    <w:rsid w:val="4541761C"/>
    <w:rsid w:val="45DE4E6B"/>
    <w:rsid w:val="462907DC"/>
    <w:rsid w:val="463C0CB3"/>
    <w:rsid w:val="464A2500"/>
    <w:rsid w:val="46843C64"/>
    <w:rsid w:val="47523D62"/>
    <w:rsid w:val="481B23A6"/>
    <w:rsid w:val="49817A41"/>
    <w:rsid w:val="4A2117CA"/>
    <w:rsid w:val="4A6F09C8"/>
    <w:rsid w:val="4A897A9B"/>
    <w:rsid w:val="4A9B5A20"/>
    <w:rsid w:val="4D920F74"/>
    <w:rsid w:val="4DD92AE7"/>
    <w:rsid w:val="4E08517B"/>
    <w:rsid w:val="4E265601"/>
    <w:rsid w:val="4E6F3350"/>
    <w:rsid w:val="4EEF27B9"/>
    <w:rsid w:val="4FAC7D88"/>
    <w:rsid w:val="4FCB386C"/>
    <w:rsid w:val="50591CBD"/>
    <w:rsid w:val="507B1B2D"/>
    <w:rsid w:val="50E772C9"/>
    <w:rsid w:val="513E0EB3"/>
    <w:rsid w:val="51890380"/>
    <w:rsid w:val="536976DE"/>
    <w:rsid w:val="541008E5"/>
    <w:rsid w:val="54D933CD"/>
    <w:rsid w:val="557657F6"/>
    <w:rsid w:val="55821CB6"/>
    <w:rsid w:val="56252A02"/>
    <w:rsid w:val="568E6439"/>
    <w:rsid w:val="56D93B58"/>
    <w:rsid w:val="571921A6"/>
    <w:rsid w:val="574D1ABF"/>
    <w:rsid w:val="57981DED"/>
    <w:rsid w:val="57AF2B0B"/>
    <w:rsid w:val="58A75590"/>
    <w:rsid w:val="58E04ED5"/>
    <w:rsid w:val="59050C34"/>
    <w:rsid w:val="5A236E98"/>
    <w:rsid w:val="5A4E780A"/>
    <w:rsid w:val="5AF26F96"/>
    <w:rsid w:val="5B2630E4"/>
    <w:rsid w:val="5B9B13DC"/>
    <w:rsid w:val="5C981DBF"/>
    <w:rsid w:val="5CD03307"/>
    <w:rsid w:val="5CD820A6"/>
    <w:rsid w:val="5D047455"/>
    <w:rsid w:val="5D437F7D"/>
    <w:rsid w:val="5D551A5E"/>
    <w:rsid w:val="5D881E34"/>
    <w:rsid w:val="5DE03A1E"/>
    <w:rsid w:val="5DF43025"/>
    <w:rsid w:val="5E0A2849"/>
    <w:rsid w:val="5E4C4C10"/>
    <w:rsid w:val="5EE035AA"/>
    <w:rsid w:val="5F697A43"/>
    <w:rsid w:val="5F812FDF"/>
    <w:rsid w:val="5FCA6734"/>
    <w:rsid w:val="61412A26"/>
    <w:rsid w:val="62CA07F9"/>
    <w:rsid w:val="631D6B7A"/>
    <w:rsid w:val="6384309D"/>
    <w:rsid w:val="63C35974"/>
    <w:rsid w:val="64983F98"/>
    <w:rsid w:val="64A55079"/>
    <w:rsid w:val="64B74DAD"/>
    <w:rsid w:val="64D21BE7"/>
    <w:rsid w:val="654A79CF"/>
    <w:rsid w:val="65F067C8"/>
    <w:rsid w:val="67184229"/>
    <w:rsid w:val="67DC3E47"/>
    <w:rsid w:val="67DF4D46"/>
    <w:rsid w:val="68B24209"/>
    <w:rsid w:val="69717C20"/>
    <w:rsid w:val="6A413A96"/>
    <w:rsid w:val="6A4470E3"/>
    <w:rsid w:val="6AC67AF8"/>
    <w:rsid w:val="6AD20B92"/>
    <w:rsid w:val="6AE663EC"/>
    <w:rsid w:val="6B737C7F"/>
    <w:rsid w:val="6BAF2C82"/>
    <w:rsid w:val="6C9205D9"/>
    <w:rsid w:val="6DA06D26"/>
    <w:rsid w:val="6DC01BCB"/>
    <w:rsid w:val="6DE05374"/>
    <w:rsid w:val="6DE616AF"/>
    <w:rsid w:val="6E3B6A4F"/>
    <w:rsid w:val="6E4320C6"/>
    <w:rsid w:val="6EB505AF"/>
    <w:rsid w:val="6F537761"/>
    <w:rsid w:val="6F6B5112"/>
    <w:rsid w:val="6FDB2297"/>
    <w:rsid w:val="70553DF8"/>
    <w:rsid w:val="70567B70"/>
    <w:rsid w:val="71015D2D"/>
    <w:rsid w:val="711517D9"/>
    <w:rsid w:val="71551BD5"/>
    <w:rsid w:val="71866233"/>
    <w:rsid w:val="71985233"/>
    <w:rsid w:val="72676F13"/>
    <w:rsid w:val="734F0FD2"/>
    <w:rsid w:val="73612AB3"/>
    <w:rsid w:val="74213FF1"/>
    <w:rsid w:val="74604B19"/>
    <w:rsid w:val="76CA4E14"/>
    <w:rsid w:val="76EC6B38"/>
    <w:rsid w:val="76FD1D23"/>
    <w:rsid w:val="773A0A2A"/>
    <w:rsid w:val="78000AED"/>
    <w:rsid w:val="789254BD"/>
    <w:rsid w:val="791800B8"/>
    <w:rsid w:val="794744F9"/>
    <w:rsid w:val="799D05BD"/>
    <w:rsid w:val="7A61783D"/>
    <w:rsid w:val="7A7C01D3"/>
    <w:rsid w:val="7AC758F2"/>
    <w:rsid w:val="7AC8695B"/>
    <w:rsid w:val="7C771E5F"/>
    <w:rsid w:val="7CCF4F32"/>
    <w:rsid w:val="7D172435"/>
    <w:rsid w:val="7D43322A"/>
    <w:rsid w:val="7D7653AD"/>
    <w:rsid w:val="7DE14F1D"/>
    <w:rsid w:val="7DE762AB"/>
    <w:rsid w:val="7E1E7F1F"/>
    <w:rsid w:val="7EA61CC2"/>
    <w:rsid w:val="7EBB39C0"/>
    <w:rsid w:val="7FA02BB5"/>
    <w:rsid w:val="7FCF6FF7"/>
    <w:rsid w:val="7FF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numPr>
        <w:ilvl w:val="0"/>
        <w:numId w:val="1"/>
      </w:numPr>
      <w:adjustRightInd w:val="0"/>
      <w:snapToGrid w:val="0"/>
      <w:spacing w:line="360" w:lineRule="auto"/>
      <w:outlineLvl w:val="0"/>
    </w:pPr>
    <w:rPr>
      <w:rFonts w:ascii="黑体" w:hAnsi="宋体" w:eastAsia="黑体"/>
      <w:b/>
      <w:sz w:val="28"/>
      <w:szCs w:val="28"/>
    </w:rPr>
  </w:style>
  <w:style w:type="paragraph" w:styleId="4">
    <w:name w:val="heading 2"/>
    <w:basedOn w:val="1"/>
    <w:next w:val="1"/>
    <w:qFormat/>
    <w:uiPriority w:val="0"/>
    <w:pPr>
      <w:keepNext/>
      <w:keepLines/>
      <w:adjustRightInd w:val="0"/>
      <w:snapToGrid w:val="0"/>
      <w:spacing w:line="360" w:lineRule="auto"/>
      <w:outlineLvl w:val="1"/>
    </w:pPr>
    <w:rPr>
      <w:rFonts w:ascii="宋体" w:hAnsi="宋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420"/>
    </w:pPr>
  </w:style>
  <w:style w:type="paragraph" w:styleId="5">
    <w:name w:val="annotation text"/>
    <w:basedOn w:val="1"/>
    <w:uiPriority w:val="0"/>
    <w:pPr>
      <w:jc w:val="left"/>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99"/>
    <w:rPr>
      <w:color w:val="0000FF"/>
      <w:u w:val="single"/>
    </w:rPr>
  </w:style>
  <w:style w:type="character" w:customStyle="1" w:styleId="10">
    <w:name w:val="四号黑体加粗"/>
    <w:qFormat/>
    <w:uiPriority w:val="1"/>
    <w:rPr>
      <w:rFonts w:eastAsia="黑体"/>
      <w:b/>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398</Words>
  <Characters>441</Characters>
  <Lines>0</Lines>
  <Paragraphs>0</Paragraphs>
  <TotalTime>3</TotalTime>
  <ScaleCrop>false</ScaleCrop>
  <LinksUpToDate>false</LinksUpToDate>
  <CharactersWithSpaces>445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2022-11-23T01:19:00Z</dcterms:created>
  <dc:creator>Administrator</dc:creator>
  <cp:lastModifiedBy>黄未</cp:lastModifiedBy>
  <dcterms:modified xsi:type="dcterms:W3CDTF">2026-07-23T09:37:43Z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11442C5D600C49138984F4C5D3442962_13</vt:lpwstr>
  </property>
  <property fmtid="{D5CDD505-2E9C-101B-9397-08002B2CF9AE}" pid="4" name="KSOTemplateDocerSaveRecord">
    <vt:lpwstr>eyJoZGlkIjoiNDRiZWQ5NzlkMjE3Nzk2ODY5Mjk4OTE1NGIyMGUwZTIiLCJ1c2VySWQiOiIxMTUwNjMxMDcwIn0=</vt:lpwstr>
  </property>
</Properties>
</file>